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54475" w14:textId="14904511" w:rsidR="003D1A4B" w:rsidRDefault="003D1A4B" w:rsidP="003D1A4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#102-e</w:t>
      </w:r>
      <w:r>
        <w:rPr>
          <w:b/>
          <w:i/>
          <w:noProof/>
          <w:sz w:val="28"/>
        </w:rPr>
        <w:tab/>
      </w:r>
      <w:fldSimple w:instr=" DOCPROPERTY  Tdoc#  \* MERGEFORMAT ">
        <w:r w:rsidRPr="00E13F3D">
          <w:rPr>
            <w:b/>
            <w:i/>
            <w:noProof/>
            <w:sz w:val="28"/>
          </w:rPr>
          <w:t>R4-2</w:t>
        </w:r>
      </w:fldSimple>
      <w:r>
        <w:rPr>
          <w:b/>
          <w:i/>
          <w:noProof/>
          <w:sz w:val="28"/>
        </w:rPr>
        <w:t>20</w:t>
      </w:r>
      <w:r w:rsidR="005E5A0D">
        <w:rPr>
          <w:b/>
          <w:i/>
          <w:noProof/>
          <w:sz w:val="28"/>
        </w:rPr>
        <w:t>5059</w:t>
      </w:r>
    </w:p>
    <w:p w14:paraId="03AFF96D" w14:textId="77777777" w:rsidR="003D1A4B" w:rsidRDefault="003D1A4B" w:rsidP="003D1A4B">
      <w:pPr>
        <w:pStyle w:val="CRCoverPage"/>
        <w:outlineLvl w:val="0"/>
        <w:rPr>
          <w:b/>
          <w:noProof/>
          <w:sz w:val="24"/>
        </w:rPr>
      </w:pPr>
      <w:r w:rsidRPr="00916A48">
        <w:rPr>
          <w:rFonts w:cs="Arial"/>
          <w:b/>
          <w:bCs/>
          <w:sz w:val="24"/>
        </w:rPr>
        <w:t xml:space="preserve">Electronic Meeting, </w:t>
      </w:r>
      <w:r>
        <w:fldChar w:fldCharType="begin"/>
      </w:r>
      <w:r>
        <w:instrText xml:space="preserve"> DOCPROPERTY  Country  \* MERGEFORMAT </w:instrText>
      </w:r>
      <w:r>
        <w:fldChar w:fldCharType="end"/>
      </w:r>
      <w:fldSimple w:instr=" DOCPROPERTY  EndDate  \* MERGEFORMAT ">
        <w:r>
          <w:rPr>
            <w:b/>
            <w:noProof/>
            <w:sz w:val="24"/>
          </w:rPr>
          <w:t xml:space="preserve">February 21 - March 3, </w:t>
        </w:r>
        <w:r w:rsidRPr="00BA51D9">
          <w:rPr>
            <w:b/>
            <w:noProof/>
            <w:sz w:val="24"/>
          </w:rPr>
          <w:t>202</w:t>
        </w:r>
      </w:fldSimple>
      <w:r>
        <w:rPr>
          <w:b/>
          <w:noProof/>
          <w:sz w:val="24"/>
        </w:rPr>
        <w:t>2</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155E69" w:rsidRDefault="00744830" w:rsidP="00744830">
      <w:pPr>
        <w:rPr>
          <w:lang w:val="en-US"/>
        </w:rPr>
      </w:pPr>
      <w:r w:rsidRPr="00155E69">
        <w:rPr>
          <w:b/>
          <w:lang w:val="en-US"/>
        </w:rPr>
        <w:t>Source:</w:t>
      </w:r>
      <w:r w:rsidRPr="00155E69">
        <w:rPr>
          <w:b/>
          <w:lang w:val="en-US"/>
        </w:rPr>
        <w:tab/>
      </w:r>
      <w:r w:rsidRPr="00155E69">
        <w:rPr>
          <w:b/>
          <w:lang w:val="en-US"/>
        </w:rPr>
        <w:tab/>
      </w:r>
      <w:r w:rsidRPr="00155E69">
        <w:rPr>
          <w:lang w:val="en-US"/>
        </w:rPr>
        <w:t>Ericsson</w:t>
      </w:r>
    </w:p>
    <w:p w14:paraId="785D8DD5" w14:textId="2D118FC2" w:rsidR="00744830" w:rsidRPr="00155E69" w:rsidRDefault="00744830" w:rsidP="00744830">
      <w:pPr>
        <w:rPr>
          <w:lang w:val="en-US"/>
        </w:rPr>
      </w:pPr>
      <w:r w:rsidRPr="00155E69">
        <w:rPr>
          <w:b/>
          <w:lang w:val="en-US"/>
        </w:rPr>
        <w:t>Title:</w:t>
      </w:r>
      <w:r w:rsidRPr="00155E69">
        <w:rPr>
          <w:lang w:val="en-US"/>
        </w:rPr>
        <w:tab/>
      </w:r>
      <w:r w:rsidRPr="00155E69">
        <w:rPr>
          <w:lang w:val="en-US"/>
        </w:rPr>
        <w:tab/>
      </w:r>
      <w:r w:rsidRPr="00155E69">
        <w:rPr>
          <w:lang w:val="en-US"/>
        </w:rPr>
        <w:tab/>
      </w:r>
      <w:r w:rsidR="00360077" w:rsidRPr="00155E69">
        <w:rPr>
          <w:lang w:val="en-US"/>
        </w:rPr>
        <w:t>6 GHz licensed band</w:t>
      </w:r>
      <w:r w:rsidR="0083440F" w:rsidRPr="00155E69">
        <w:rPr>
          <w:lang w:val="en-US"/>
        </w:rPr>
        <w:t xml:space="preserve"> – </w:t>
      </w:r>
      <w:r w:rsidR="004176A2" w:rsidRPr="00155E69">
        <w:rPr>
          <w:lang w:val="en-US"/>
        </w:rPr>
        <w:t>General aspects</w:t>
      </w:r>
    </w:p>
    <w:p w14:paraId="38171D17" w14:textId="45F5E050" w:rsidR="00744830" w:rsidRPr="00467DC3" w:rsidRDefault="00744830" w:rsidP="00744830">
      <w:r w:rsidRPr="00467DC3">
        <w:rPr>
          <w:b/>
        </w:rPr>
        <w:t>Agenda item:</w:t>
      </w:r>
      <w:r w:rsidRPr="00467DC3">
        <w:tab/>
      </w:r>
      <w:r w:rsidRPr="00467DC3">
        <w:tab/>
      </w:r>
      <w:r w:rsidR="00245AA6">
        <w:t>9.3.1</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bookmarkStart w:id="0" w:name="_Ref91604054"/>
      <w:r w:rsidRPr="00467DC3">
        <w:rPr>
          <w:rFonts w:cs="Arial"/>
          <w:lang w:val="en-US"/>
        </w:rPr>
        <w:t>Introduction</w:t>
      </w:r>
      <w:bookmarkEnd w:id="0"/>
    </w:p>
    <w:p w14:paraId="628DFFAD" w14:textId="67801AED" w:rsidR="00360077" w:rsidRDefault="00360077" w:rsidP="0023124E">
      <w:pPr>
        <w:shd w:val="clear" w:color="auto" w:fill="FFFFFF"/>
        <w:rPr>
          <w:rFonts w:eastAsia="MS Mincho"/>
          <w:lang w:val="en-US" w:eastAsia="ja-JP"/>
        </w:rPr>
      </w:pPr>
      <w:r>
        <w:rPr>
          <w:rFonts w:eastAsia="MS Mincho"/>
          <w:lang w:val="en-US" w:eastAsia="ja-JP"/>
        </w:rPr>
        <w:t>The WI</w:t>
      </w:r>
      <w:r w:rsidR="00096D7B">
        <w:rPr>
          <w:rFonts w:eastAsia="MS Mincho"/>
          <w:lang w:val="en-US" w:eastAsia="ja-JP"/>
        </w:rPr>
        <w:t xml:space="preserve"> (</w:t>
      </w:r>
      <w:r>
        <w:rPr>
          <w:rFonts w:eastAsia="MS Mincho"/>
          <w:lang w:val="en-US" w:eastAsia="ja-JP"/>
        </w:rPr>
        <w:fldChar w:fldCharType="begin"/>
      </w:r>
      <w:r>
        <w:rPr>
          <w:rFonts w:eastAsia="MS Mincho"/>
          <w:lang w:val="en-US" w:eastAsia="ja-JP"/>
        </w:rPr>
        <w:instrText xml:space="preserve"> REF _Ref91685314 \r \h </w:instrText>
      </w:r>
      <w:r>
        <w:rPr>
          <w:rFonts w:eastAsia="MS Mincho"/>
          <w:lang w:val="en-US" w:eastAsia="ja-JP"/>
        </w:rPr>
      </w:r>
      <w:r>
        <w:rPr>
          <w:rFonts w:eastAsia="MS Mincho"/>
          <w:lang w:val="en-US" w:eastAsia="ja-JP"/>
        </w:rPr>
        <w:fldChar w:fldCharType="separate"/>
      </w:r>
      <w:r w:rsidR="00831E2E">
        <w:rPr>
          <w:rFonts w:eastAsia="MS Mincho"/>
          <w:lang w:val="en-US" w:eastAsia="ja-JP"/>
        </w:rPr>
        <w:t>[1]</w:t>
      </w:r>
      <w:r>
        <w:rPr>
          <w:rFonts w:eastAsia="MS Mincho"/>
          <w:lang w:val="en-US" w:eastAsia="ja-JP"/>
        </w:rPr>
        <w:fldChar w:fldCharType="end"/>
      </w:r>
      <w:r w:rsidR="00096D7B">
        <w:rPr>
          <w:rFonts w:eastAsia="MS Mincho"/>
          <w:lang w:val="en-US" w:eastAsia="ja-JP"/>
        </w:rPr>
        <w:t xml:space="preserve">) </w:t>
      </w:r>
      <w:r>
        <w:rPr>
          <w:rFonts w:eastAsia="MS Mincho"/>
          <w:lang w:val="en-US" w:eastAsia="ja-JP"/>
        </w:rPr>
        <w:t xml:space="preserve">on introducing new licensed band(s) in the 6 GHz was on hold, waiting for inputs from Regulators to start the work. </w:t>
      </w:r>
    </w:p>
    <w:p w14:paraId="04337DC3" w14:textId="68BE202E" w:rsidR="00121B45" w:rsidRDefault="00360077" w:rsidP="008346B4">
      <w:pPr>
        <w:shd w:val="clear" w:color="auto" w:fill="FFFFFF"/>
        <w:rPr>
          <w:rFonts w:eastAsia="MS Mincho"/>
          <w:lang w:val="en-US" w:eastAsia="ja-JP"/>
        </w:rPr>
      </w:pPr>
      <w:r>
        <w:rPr>
          <w:rFonts w:eastAsia="MS Mincho"/>
          <w:lang w:val="en-US" w:eastAsia="ja-JP"/>
        </w:rPr>
        <w:t xml:space="preserve">In last RAN#94-e meeting, </w:t>
      </w:r>
      <w:r w:rsidR="00096D7B">
        <w:rPr>
          <w:rFonts w:eastAsia="MS Mincho"/>
          <w:lang w:val="en-US" w:eastAsia="ja-JP"/>
        </w:rPr>
        <w:t>RAN received a LS (</w:t>
      </w:r>
      <w:r w:rsidR="00096D7B">
        <w:rPr>
          <w:rFonts w:eastAsia="MS Mincho"/>
          <w:lang w:val="en-US" w:eastAsia="ja-JP"/>
        </w:rPr>
        <w:fldChar w:fldCharType="begin"/>
      </w:r>
      <w:r w:rsidR="00096D7B">
        <w:rPr>
          <w:rFonts w:eastAsia="MS Mincho"/>
          <w:lang w:val="en-US" w:eastAsia="ja-JP"/>
        </w:rPr>
        <w:instrText xml:space="preserve"> REF _Ref91685382 \r \h </w:instrText>
      </w:r>
      <w:r w:rsidR="00096D7B">
        <w:rPr>
          <w:rFonts w:eastAsia="MS Mincho"/>
          <w:lang w:val="en-US" w:eastAsia="ja-JP"/>
        </w:rPr>
      </w:r>
      <w:r w:rsidR="00096D7B">
        <w:rPr>
          <w:rFonts w:eastAsia="MS Mincho"/>
          <w:lang w:val="en-US" w:eastAsia="ja-JP"/>
        </w:rPr>
        <w:fldChar w:fldCharType="separate"/>
      </w:r>
      <w:r w:rsidR="00831E2E">
        <w:rPr>
          <w:rFonts w:eastAsia="MS Mincho"/>
          <w:lang w:val="en-US" w:eastAsia="ja-JP"/>
        </w:rPr>
        <w:t>[2]</w:t>
      </w:r>
      <w:r w:rsidR="00096D7B">
        <w:rPr>
          <w:rFonts w:eastAsia="MS Mincho"/>
          <w:lang w:val="en-US" w:eastAsia="ja-JP"/>
        </w:rPr>
        <w:fldChar w:fldCharType="end"/>
      </w:r>
      <w:r w:rsidR="00096D7B">
        <w:rPr>
          <w:rFonts w:eastAsia="MS Mincho"/>
          <w:lang w:val="en-US" w:eastAsia="ja-JP"/>
        </w:rPr>
        <w:t>) from RCC informing 3GPP of the approval of “RCC Recommendation 1/21 Harmonization of the technical conditions for 5G-NR/IMT-2020 systems in the RCC countries in the frequency band 6 425-7 125 MHz or in its portions which contains the required regulatory requirements”.</w:t>
      </w:r>
      <w:r w:rsidR="00121B45">
        <w:rPr>
          <w:rFonts w:eastAsia="MS Mincho"/>
          <w:lang w:val="en-US" w:eastAsia="ja-JP"/>
        </w:rPr>
        <w:t xml:space="preserve"> </w:t>
      </w:r>
      <w:r w:rsidR="00096D7B">
        <w:rPr>
          <w:rFonts w:eastAsia="MS Mincho"/>
          <w:lang w:val="en-US" w:eastAsia="ja-JP"/>
        </w:rPr>
        <w:t xml:space="preserve">It was then agreed to immediately start the specification work of this new 6GHz licensed band, answering RCC request. </w:t>
      </w:r>
    </w:p>
    <w:p w14:paraId="1404218B" w14:textId="3584D748" w:rsidR="00032CB0" w:rsidRDefault="00E456C0" w:rsidP="0023124E">
      <w:pPr>
        <w:shd w:val="clear" w:color="auto" w:fill="FFFFFF"/>
        <w:rPr>
          <w:rFonts w:eastAsia="MS Mincho"/>
          <w:lang w:val="en-US" w:eastAsia="ja-JP"/>
        </w:rPr>
      </w:pPr>
      <w:r>
        <w:rPr>
          <w:rFonts w:eastAsia="MS Mincho"/>
          <w:lang w:val="en-US" w:eastAsia="ja-JP"/>
        </w:rPr>
        <w:t xml:space="preserve">In last RAN4#101-bis-e meeting, some companies claimed that information was missing in RCC Recommendation and suggested a LS should be sent to RCC. </w:t>
      </w:r>
      <w:r w:rsidR="00155E69">
        <w:rPr>
          <w:rFonts w:eastAsia="MS Mincho"/>
          <w:lang w:val="en-US" w:eastAsia="ja-JP"/>
        </w:rPr>
        <w:t xml:space="preserve">It is to be noted though that all concerns raised were in relation to other services in the band and that 3GPP does not look into this issues as these are studied by regulators. Nevertheless, </w:t>
      </w:r>
      <w:r>
        <w:rPr>
          <w:rFonts w:eastAsia="MS Mincho"/>
          <w:lang w:val="en-US" w:eastAsia="ja-JP"/>
        </w:rPr>
        <w:t xml:space="preserve">we are going through the </w:t>
      </w:r>
      <w:r w:rsidR="002E421A">
        <w:rPr>
          <w:rFonts w:eastAsia="MS Mincho"/>
          <w:lang w:val="en-US" w:eastAsia="ja-JP"/>
        </w:rPr>
        <w:t xml:space="preserve">raised </w:t>
      </w:r>
      <w:r>
        <w:rPr>
          <w:rFonts w:eastAsia="MS Mincho"/>
          <w:lang w:val="en-US" w:eastAsia="ja-JP"/>
        </w:rPr>
        <w:t>concer</w:t>
      </w:r>
      <w:r w:rsidR="00BC789A">
        <w:rPr>
          <w:rFonts w:eastAsia="MS Mincho"/>
          <w:lang w:val="en-US" w:eastAsia="ja-JP"/>
        </w:rPr>
        <w:t>n</w:t>
      </w:r>
      <w:r>
        <w:rPr>
          <w:rFonts w:eastAsia="MS Mincho"/>
          <w:lang w:val="en-US" w:eastAsia="ja-JP"/>
        </w:rPr>
        <w:t>s</w:t>
      </w:r>
      <w:r w:rsidR="00155E69">
        <w:rPr>
          <w:rFonts w:eastAsia="MS Mincho"/>
          <w:lang w:val="en-US" w:eastAsia="ja-JP"/>
        </w:rPr>
        <w:t xml:space="preserve"> in this contribution</w:t>
      </w:r>
      <w:r w:rsidR="002E421A">
        <w:rPr>
          <w:rFonts w:eastAsia="MS Mincho"/>
          <w:lang w:val="en-US" w:eastAsia="ja-JP"/>
        </w:rPr>
        <w:t>,</w:t>
      </w:r>
      <w:r>
        <w:rPr>
          <w:rFonts w:eastAsia="MS Mincho"/>
          <w:lang w:val="en-US" w:eastAsia="ja-JP"/>
        </w:rPr>
        <w:t xml:space="preserve"> checking how RCC Recommendation has already addressed them.</w:t>
      </w:r>
    </w:p>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7B55DD13" w14:textId="1BE460F4" w:rsidR="007C2B60" w:rsidRDefault="00322F5A" w:rsidP="007C2B60">
      <w:pPr>
        <w:pStyle w:val="Heading2"/>
      </w:pPr>
      <w:r>
        <w:t>Coexistence with incumbent services</w:t>
      </w:r>
    </w:p>
    <w:p w14:paraId="73E36A53" w14:textId="4887FED0" w:rsidR="003F7884" w:rsidRDefault="003F7884" w:rsidP="00322F5A">
      <w:pPr>
        <w:rPr>
          <w:lang w:val="en-GB"/>
        </w:rPr>
      </w:pPr>
      <w:r>
        <w:rPr>
          <w:lang w:val="en-GB"/>
        </w:rPr>
        <w:t xml:space="preserve">In the following, we are </w:t>
      </w:r>
      <w:r w:rsidR="00100079">
        <w:rPr>
          <w:lang w:val="en-GB"/>
        </w:rPr>
        <w:t>d</w:t>
      </w:r>
      <w:r w:rsidR="00E456C0">
        <w:rPr>
          <w:lang w:val="en-GB"/>
        </w:rPr>
        <w:t>is</w:t>
      </w:r>
      <w:r w:rsidR="00100079">
        <w:rPr>
          <w:lang w:val="en-GB"/>
        </w:rPr>
        <w:t>cussing</w:t>
      </w:r>
      <w:r>
        <w:rPr>
          <w:lang w:val="en-GB"/>
        </w:rPr>
        <w:t xml:space="preserve"> the RCC Recommendation, answering most of the concerns raised by some companies in last RAN4#101-bis-e meeting.</w:t>
      </w:r>
    </w:p>
    <w:p w14:paraId="24475BAA" w14:textId="521CCDE8" w:rsidR="002457DA" w:rsidRDefault="002457DA" w:rsidP="00322F5A">
      <w:pPr>
        <w:rPr>
          <w:lang w:val="en-GB"/>
        </w:rPr>
      </w:pPr>
      <w:r>
        <w:rPr>
          <w:lang w:val="en-GB"/>
        </w:rPr>
        <w:t>We note that the RCC Recommendation clearly states that (from the RCC Recommendation):</w:t>
      </w:r>
    </w:p>
    <w:p w14:paraId="3B6BDB33" w14:textId="0904FA29" w:rsidR="002457DA" w:rsidRPr="00FD59BB" w:rsidRDefault="002457DA" w:rsidP="00FD59BB">
      <w:pPr>
        <w:pStyle w:val="ListParagraph"/>
        <w:numPr>
          <w:ilvl w:val="0"/>
          <w:numId w:val="27"/>
        </w:numPr>
        <w:rPr>
          <w:i/>
          <w:iCs/>
          <w:lang w:val="en-US"/>
        </w:rPr>
      </w:pPr>
      <w:r w:rsidRPr="00FD59BB">
        <w:rPr>
          <w:i/>
          <w:iCs/>
          <w:lang w:val="en-US"/>
        </w:rPr>
        <w:t>This Recommendation provides the harmonized technical conditions for 5G-NR/IMT-2020 systems in the 6425-7125 MHz band for sharing the band with other systems and radio services which are used in RCC countries, including the fixed ser-vice, the fixed-satellite service (Earth-to-space, space-to-Earth) and the space operation service (space-to-Earth).</w:t>
      </w:r>
    </w:p>
    <w:p w14:paraId="765F89C5" w14:textId="2A44007C" w:rsidR="00322F5A" w:rsidRDefault="002457DA" w:rsidP="00322F5A">
      <w:pPr>
        <w:rPr>
          <w:lang w:val="en-GB"/>
        </w:rPr>
      </w:pPr>
      <w:r>
        <w:rPr>
          <w:lang w:val="en-GB"/>
        </w:rPr>
        <w:t>The</w:t>
      </w:r>
      <w:r w:rsidR="00232A41">
        <w:rPr>
          <w:lang w:val="en-GB"/>
        </w:rPr>
        <w:t xml:space="preserve"> Recommendation</w:t>
      </w:r>
      <w:r>
        <w:rPr>
          <w:lang w:val="en-GB"/>
        </w:rPr>
        <w:t xml:space="preserve"> goes further in details in terms of </w:t>
      </w:r>
      <w:r w:rsidR="00232A41">
        <w:rPr>
          <w:lang w:val="en-GB"/>
        </w:rPr>
        <w:t xml:space="preserve"> incumbent service</w:t>
      </w:r>
      <w:r w:rsidR="006C6ADC">
        <w:rPr>
          <w:lang w:val="en-GB"/>
        </w:rPr>
        <w:t>s</w:t>
      </w:r>
      <w:r w:rsidR="00100079">
        <w:rPr>
          <w:lang w:val="en-GB"/>
        </w:rPr>
        <w:t xml:space="preserve"> (</w:t>
      </w:r>
      <w:r w:rsidR="006C6ADC">
        <w:rPr>
          <w:lang w:val="en-GB"/>
        </w:rPr>
        <w:t>from the RCC Recommendation</w:t>
      </w:r>
      <w:r w:rsidR="00100079">
        <w:rPr>
          <w:lang w:val="en-GB"/>
        </w:rPr>
        <w:t>)</w:t>
      </w:r>
      <w:r w:rsidR="006C6ADC">
        <w:rPr>
          <w:lang w:val="en-GB"/>
        </w:rPr>
        <w:t xml:space="preserve">: </w:t>
      </w:r>
    </w:p>
    <w:p w14:paraId="4B3E9638" w14:textId="1CAFDCEB" w:rsidR="004176A2" w:rsidRPr="003F7884" w:rsidRDefault="00232A41" w:rsidP="00232A41">
      <w:pPr>
        <w:pStyle w:val="ListParagraph"/>
        <w:numPr>
          <w:ilvl w:val="0"/>
          <w:numId w:val="27"/>
        </w:numPr>
        <w:rPr>
          <w:i/>
          <w:iCs/>
          <w:lang w:val="en-US"/>
        </w:rPr>
      </w:pPr>
      <w:r w:rsidRPr="003F7884">
        <w:rPr>
          <w:i/>
          <w:iCs/>
          <w:lang w:val="en-US"/>
        </w:rPr>
        <w:t>I</w:t>
      </w:r>
      <w:r w:rsidR="004176A2" w:rsidRPr="003F7884">
        <w:rPr>
          <w:i/>
          <w:iCs/>
          <w:lang w:val="en-US"/>
        </w:rPr>
        <w:t>n the frequency band 6425-7125 MHz, there are also allocations in RCC countries to other radio services on a primary basis, including the fixed service, the fixed-satellite service (Earth-to-space, space-to-Earth) and the space operation service (space-to-Earth);</w:t>
      </w:r>
    </w:p>
    <w:p w14:paraId="194C836F" w14:textId="6EDE83D2" w:rsidR="00232A41" w:rsidRPr="003F7884" w:rsidRDefault="006C6ADC" w:rsidP="00232A41">
      <w:pPr>
        <w:pStyle w:val="ListParagraph"/>
        <w:numPr>
          <w:ilvl w:val="0"/>
          <w:numId w:val="27"/>
        </w:numPr>
        <w:rPr>
          <w:i/>
          <w:iCs/>
          <w:lang w:val="en-US"/>
        </w:rPr>
      </w:pPr>
      <w:r w:rsidRPr="003F7884">
        <w:rPr>
          <w:i/>
          <w:iCs/>
          <w:lang w:val="en-US"/>
        </w:rPr>
        <w:t>I</w:t>
      </w:r>
      <w:r w:rsidR="00232A41" w:rsidRPr="003F7884">
        <w:rPr>
          <w:i/>
          <w:iCs/>
          <w:lang w:val="en-US"/>
        </w:rPr>
        <w:t>n RCC countries there is also an allocation to the space research service (Earth-to-space, deep space) on a primary basis in the 7145-7190 MHz frequency band;</w:t>
      </w:r>
    </w:p>
    <w:p w14:paraId="5576C86A" w14:textId="23C3347F" w:rsidR="00232A41" w:rsidRPr="00232A41" w:rsidRDefault="006C6ADC" w:rsidP="00232A41">
      <w:pPr>
        <w:pStyle w:val="ListParagraph"/>
        <w:numPr>
          <w:ilvl w:val="0"/>
          <w:numId w:val="27"/>
        </w:numPr>
        <w:rPr>
          <w:lang w:val="en-US"/>
        </w:rPr>
      </w:pPr>
      <w:r w:rsidRPr="003F7884">
        <w:rPr>
          <w:i/>
          <w:iCs/>
          <w:lang w:val="en-US"/>
        </w:rPr>
        <w:t>I</w:t>
      </w:r>
      <w:r w:rsidR="00232A41" w:rsidRPr="003F7884">
        <w:rPr>
          <w:i/>
          <w:iCs/>
          <w:lang w:val="en-US"/>
        </w:rPr>
        <w:t>n the 7075-7250 MHz frequency band, measurements are carried out with passive microwave sensors and in accordance with RR No. 5.458, when planning the future use of the 6425-7075 MHz and 7075-7250 MHz frequency bands, administrations should bear in mind the needs of the Earth exploration-satellite service (passive);</w:t>
      </w:r>
    </w:p>
    <w:p w14:paraId="21BAE0BD" w14:textId="682E8837" w:rsidR="00232A41" w:rsidRPr="006C6ADC" w:rsidRDefault="00100079" w:rsidP="006C6ADC">
      <w:pPr>
        <w:rPr>
          <w:lang w:val="en-US"/>
        </w:rPr>
      </w:pPr>
      <w:r>
        <w:rPr>
          <w:lang w:val="en-US"/>
        </w:rPr>
        <w:lastRenderedPageBreak/>
        <w:t xml:space="preserve">It’s clear then that RCC has considered </w:t>
      </w:r>
      <w:r w:rsidR="003F7884">
        <w:rPr>
          <w:lang w:val="en-US"/>
        </w:rPr>
        <w:t>coexistence with those services</w:t>
      </w:r>
      <w:r>
        <w:rPr>
          <w:lang w:val="en-US"/>
        </w:rPr>
        <w:t>, including the allocation of 7100-7155MHz to FSS (Earth-to-Space) in the Russian Federation</w:t>
      </w:r>
      <w:r w:rsidR="00E72CCB">
        <w:rPr>
          <w:lang w:val="en-US"/>
        </w:rPr>
        <w:t>. T</w:t>
      </w:r>
      <w:r w:rsidR="003F7884">
        <w:rPr>
          <w:lang w:val="en-US"/>
        </w:rPr>
        <w:t xml:space="preserve">his is </w:t>
      </w:r>
      <w:r>
        <w:rPr>
          <w:lang w:val="en-US"/>
        </w:rPr>
        <w:t>also</w:t>
      </w:r>
      <w:r w:rsidR="003F7884">
        <w:rPr>
          <w:lang w:val="en-US"/>
        </w:rPr>
        <w:t xml:space="preserve"> highlighted </w:t>
      </w:r>
      <w:r w:rsidR="00E72CCB">
        <w:rPr>
          <w:lang w:val="en-US"/>
        </w:rPr>
        <w:t xml:space="preserve">again </w:t>
      </w:r>
      <w:r w:rsidR="003F7884">
        <w:rPr>
          <w:lang w:val="en-US"/>
        </w:rPr>
        <w:t xml:space="preserve">by the following statements (from RCC Recommendation): </w:t>
      </w:r>
    </w:p>
    <w:p w14:paraId="4E622BE8" w14:textId="297A7FFA" w:rsidR="004176A2" w:rsidRPr="003F7884" w:rsidRDefault="003F7884" w:rsidP="003F7884">
      <w:pPr>
        <w:pStyle w:val="ListParagraph"/>
        <w:numPr>
          <w:ilvl w:val="0"/>
          <w:numId w:val="27"/>
        </w:numPr>
        <w:rPr>
          <w:i/>
          <w:iCs/>
          <w:lang w:val="en-US"/>
        </w:rPr>
      </w:pPr>
      <w:r w:rsidRPr="003F7884">
        <w:rPr>
          <w:i/>
          <w:iCs/>
          <w:lang w:val="en-US"/>
        </w:rPr>
        <w:t xml:space="preserve">The </w:t>
      </w:r>
      <w:r w:rsidR="004176A2" w:rsidRPr="003F7884">
        <w:rPr>
          <w:i/>
          <w:iCs/>
          <w:lang w:val="en-US"/>
        </w:rPr>
        <w:t xml:space="preserve"> usage of the 6 425-7 125 MHz frequency band by 5G-NR/IMT-2000 systems on a licensed basis would facilitate co-existence with stations in the fixed service and other services</w:t>
      </w:r>
      <w:r w:rsidRPr="00155E69">
        <w:rPr>
          <w:i/>
          <w:iCs/>
          <w:lang w:val="en-US"/>
        </w:rPr>
        <w:t>.</w:t>
      </w:r>
    </w:p>
    <w:p w14:paraId="6EB3F8A6" w14:textId="55099C71" w:rsidR="004176A2" w:rsidRPr="003F7884" w:rsidRDefault="003F7884" w:rsidP="003F7884">
      <w:pPr>
        <w:pStyle w:val="ListParagraph"/>
        <w:numPr>
          <w:ilvl w:val="0"/>
          <w:numId w:val="27"/>
        </w:numPr>
        <w:rPr>
          <w:lang w:val="en-US"/>
        </w:rPr>
      </w:pPr>
      <w:r w:rsidRPr="003F7884">
        <w:rPr>
          <w:i/>
          <w:iCs/>
          <w:lang w:val="en-US"/>
        </w:rPr>
        <w:t xml:space="preserve">The </w:t>
      </w:r>
      <w:r w:rsidR="004176A2" w:rsidRPr="003F7884">
        <w:rPr>
          <w:i/>
          <w:iCs/>
          <w:lang w:val="en-US"/>
        </w:rPr>
        <w:t xml:space="preserve">5G-NR/IMT-2020 systems should be planned taking into account compatibility with existing and planned systems in the FS, FSS, </w:t>
      </w:r>
      <w:r w:rsidR="004176A2" w:rsidRPr="00155E69">
        <w:rPr>
          <w:i/>
          <w:iCs/>
          <w:lang w:val="en-US"/>
        </w:rPr>
        <w:t>SOS</w:t>
      </w:r>
      <w:r w:rsidR="004176A2" w:rsidRPr="003F7884">
        <w:rPr>
          <w:i/>
          <w:iCs/>
          <w:lang w:val="en-US"/>
        </w:rPr>
        <w:t xml:space="preserve"> in the 6425-7125 MHz frequency band and adjacent frequency bands</w:t>
      </w:r>
      <w:r w:rsidRPr="003F7884">
        <w:rPr>
          <w:i/>
          <w:iCs/>
          <w:lang w:val="en-US"/>
        </w:rPr>
        <w:t>.</w:t>
      </w:r>
    </w:p>
    <w:p w14:paraId="77AF03A0" w14:textId="4DD52976" w:rsidR="003F7884" w:rsidRDefault="003F7884" w:rsidP="003F7884">
      <w:pPr>
        <w:rPr>
          <w:lang w:val="en-US"/>
        </w:rPr>
      </w:pPr>
      <w:r>
        <w:rPr>
          <w:lang w:val="en-US"/>
        </w:rPr>
        <w:t xml:space="preserve">RCC also clarified that coexistence with those services could be facilitated thanks to the flexibility band plan that RCC has specified in this Recommendation,: </w:t>
      </w:r>
    </w:p>
    <w:p w14:paraId="681BFE96" w14:textId="00DA6A6E" w:rsidR="00322F5A" w:rsidRPr="003F7884" w:rsidRDefault="00322F5A" w:rsidP="003F7884">
      <w:pPr>
        <w:pStyle w:val="ListParagraph"/>
        <w:numPr>
          <w:ilvl w:val="0"/>
          <w:numId w:val="25"/>
        </w:numPr>
        <w:ind w:left="720"/>
        <w:rPr>
          <w:i/>
          <w:iCs/>
          <w:lang w:val="en-US"/>
        </w:rPr>
      </w:pPr>
      <w:r w:rsidRPr="003F7884">
        <w:rPr>
          <w:i/>
          <w:iCs/>
          <w:lang w:val="en-US"/>
        </w:rPr>
        <w:t xml:space="preserve">In order to maximize the usable spectrum within the 6425-7125 MHz by 5G-NR/IMT-2020 systems and taking into account that this and adjacent frequency bands are used by other systems: </w:t>
      </w:r>
    </w:p>
    <w:p w14:paraId="1502ABA5" w14:textId="77777777" w:rsidR="00322F5A" w:rsidRPr="003F7884" w:rsidRDefault="00322F5A" w:rsidP="003F7884">
      <w:pPr>
        <w:pStyle w:val="ListParagraph"/>
        <w:numPr>
          <w:ilvl w:val="1"/>
          <w:numId w:val="25"/>
        </w:numPr>
        <w:tabs>
          <w:tab w:val="left" w:pos="794"/>
          <w:tab w:val="left" w:pos="1191"/>
          <w:tab w:val="left" w:pos="1588"/>
          <w:tab w:val="left" w:pos="1985"/>
        </w:tabs>
        <w:spacing w:before="120" w:after="0" w:line="240" w:lineRule="auto"/>
        <w:contextualSpacing/>
        <w:jc w:val="both"/>
        <w:textAlignment w:val="baseline"/>
        <w:rPr>
          <w:i/>
          <w:iCs/>
          <w:lang w:val="en-US"/>
        </w:rPr>
      </w:pPr>
      <w:r w:rsidRPr="003F7884">
        <w:rPr>
          <w:i/>
          <w:iCs/>
          <w:lang w:val="en-US"/>
        </w:rPr>
        <w:t>the bandwidth of a frequency block could be increased in relation to the reference block by multiples of 10 MHz;</w:t>
      </w:r>
    </w:p>
    <w:p w14:paraId="227F82AE" w14:textId="77777777" w:rsidR="00322F5A" w:rsidRPr="003F7884" w:rsidRDefault="00322F5A" w:rsidP="003F7884">
      <w:pPr>
        <w:pStyle w:val="ListParagraph"/>
        <w:numPr>
          <w:ilvl w:val="1"/>
          <w:numId w:val="25"/>
        </w:numPr>
        <w:tabs>
          <w:tab w:val="left" w:pos="794"/>
          <w:tab w:val="left" w:pos="1191"/>
          <w:tab w:val="left" w:pos="1588"/>
          <w:tab w:val="left" w:pos="1985"/>
        </w:tabs>
        <w:spacing w:before="120" w:after="0" w:line="240" w:lineRule="auto"/>
        <w:contextualSpacing/>
        <w:jc w:val="both"/>
        <w:textAlignment w:val="baseline"/>
        <w:rPr>
          <w:i/>
          <w:iCs/>
          <w:lang w:val="en-US"/>
        </w:rPr>
      </w:pPr>
      <w:r w:rsidRPr="003F7884">
        <w:rPr>
          <w:i/>
          <w:iCs/>
          <w:lang w:val="en-US"/>
        </w:rPr>
        <w:t>the central frequency of a frequency block can be shifted in relation to the central frequency of a reference block by multiples of 5 MHz;</w:t>
      </w:r>
    </w:p>
    <w:p w14:paraId="626559F0" w14:textId="1C7C685A" w:rsidR="004176A2" w:rsidRPr="003F7884" w:rsidRDefault="004176A2" w:rsidP="003F7884">
      <w:pPr>
        <w:pStyle w:val="ListParagraph"/>
        <w:numPr>
          <w:ilvl w:val="0"/>
          <w:numId w:val="25"/>
        </w:numPr>
        <w:ind w:left="720"/>
        <w:rPr>
          <w:i/>
          <w:iCs/>
          <w:lang w:val="en-US"/>
        </w:rPr>
      </w:pPr>
      <w:r w:rsidRPr="003F7884">
        <w:rPr>
          <w:i/>
          <w:iCs/>
          <w:lang w:val="en-US"/>
        </w:rPr>
        <w:t>Administrations may restrict the use of frequency blocks, including within the 6425-6525 MHz and 7100-7125 MHz frequency bands, in order to ensure compatibility with stations in FS, FSS, SOS, SRS and EESS.</w:t>
      </w:r>
    </w:p>
    <w:p w14:paraId="36665C77" w14:textId="05A47B1F" w:rsidR="00E72CCB" w:rsidRPr="00E72CCB" w:rsidRDefault="00E72CCB" w:rsidP="00A77FB5">
      <w:pPr>
        <w:rPr>
          <w:b/>
          <w:bCs/>
          <w:lang w:val="en-GB"/>
        </w:rPr>
      </w:pPr>
      <w:r w:rsidRPr="00E72CCB">
        <w:rPr>
          <w:b/>
          <w:bCs/>
          <w:lang w:val="en-GB"/>
        </w:rPr>
        <w:t xml:space="preserve">Observation1: As mentioned in RCC Recommendation, RCC has considered coexistence with incumbent services and proposes </w:t>
      </w:r>
      <w:r w:rsidR="002457DA">
        <w:rPr>
          <w:b/>
          <w:bCs/>
          <w:lang w:val="en-GB"/>
        </w:rPr>
        <w:t>a flexible band plan to address this issue</w:t>
      </w:r>
      <w:r w:rsidRPr="00E72CCB">
        <w:rPr>
          <w:b/>
          <w:bCs/>
          <w:lang w:val="en-GB"/>
        </w:rPr>
        <w:t>.</w:t>
      </w:r>
    </w:p>
    <w:p w14:paraId="0CCE32A3" w14:textId="6A8E5C2A" w:rsidR="00A77FB5" w:rsidRPr="00A77FB5" w:rsidRDefault="00E72CCB" w:rsidP="00A77FB5">
      <w:pPr>
        <w:rPr>
          <w:lang w:val="en-GB"/>
        </w:rPr>
      </w:pPr>
      <w:r>
        <w:rPr>
          <w:lang w:val="en-GB"/>
        </w:rPr>
        <w:t>R</w:t>
      </w:r>
      <w:r w:rsidR="00A77FB5" w:rsidRPr="00A77FB5">
        <w:rPr>
          <w:lang w:val="en-GB"/>
        </w:rPr>
        <w:t xml:space="preserve">CC is familiar with 3GPP specifications and </w:t>
      </w:r>
      <w:r w:rsidR="00A77FB5">
        <w:rPr>
          <w:lang w:val="en-GB"/>
        </w:rPr>
        <w:t>know</w:t>
      </w:r>
      <w:r w:rsidR="00930D97">
        <w:rPr>
          <w:lang w:val="en-GB"/>
        </w:rPr>
        <w:t>s</w:t>
      </w:r>
      <w:r w:rsidR="00A77FB5">
        <w:rPr>
          <w:lang w:val="en-GB"/>
        </w:rPr>
        <w:t xml:space="preserve"> the </w:t>
      </w:r>
      <w:r w:rsidR="00930D97">
        <w:rPr>
          <w:lang w:val="en-GB"/>
        </w:rPr>
        <w:t xml:space="preserve">NR </w:t>
      </w:r>
      <w:r w:rsidR="00A77FB5">
        <w:rPr>
          <w:lang w:val="en-GB"/>
        </w:rPr>
        <w:t xml:space="preserve">limits specified in TS 38.104 and TS 38.101-1. RAN4 should then assume that, if RCC has not </w:t>
      </w:r>
      <w:r w:rsidR="00930D97">
        <w:rPr>
          <w:lang w:val="en-GB"/>
        </w:rPr>
        <w:t>introduced</w:t>
      </w:r>
      <w:r w:rsidR="00A77FB5">
        <w:rPr>
          <w:lang w:val="en-GB"/>
        </w:rPr>
        <w:t xml:space="preserve"> additional limits to ensure coexistence with existing services, it simply means that RCC has not identified such needs. This doesn’t prevent any RCC country to specify such limit later, but that would have to be considered locally and handled via specific BS variant and NS signalling for UE, similar to what RAN4 used to do in such case</w:t>
      </w:r>
      <w:r w:rsidR="00A57CD9">
        <w:rPr>
          <w:lang w:val="en-GB"/>
        </w:rPr>
        <w:t>.</w:t>
      </w:r>
    </w:p>
    <w:p w14:paraId="7963F1D1" w14:textId="61FE056E" w:rsidR="0075415F" w:rsidRPr="00E72CCB" w:rsidRDefault="00E72CCB" w:rsidP="004176A2">
      <w:pPr>
        <w:rPr>
          <w:b/>
          <w:bCs/>
          <w:lang w:val="en-GB"/>
        </w:rPr>
      </w:pPr>
      <w:r w:rsidRPr="00E72CCB">
        <w:rPr>
          <w:b/>
          <w:bCs/>
          <w:lang w:val="en-GB"/>
        </w:rPr>
        <w:t>Observation2: RCC Recommendation has not specified any additional limit for the 6425-7125GHz band</w:t>
      </w:r>
      <w:r w:rsidR="002457DA">
        <w:rPr>
          <w:b/>
          <w:bCs/>
          <w:lang w:val="en-GB"/>
        </w:rPr>
        <w:t xml:space="preserve"> for co-existence with services in the same or adjacent band</w:t>
      </w:r>
      <w:r w:rsidRPr="00E72CCB">
        <w:rPr>
          <w:b/>
          <w:bCs/>
          <w:lang w:val="en-GB"/>
        </w:rPr>
        <w:t xml:space="preserve">. </w:t>
      </w:r>
    </w:p>
    <w:p w14:paraId="5C6F8E5C" w14:textId="01E02ED6" w:rsidR="00262C7B" w:rsidRPr="008A3778" w:rsidRDefault="008A3778" w:rsidP="006B718E">
      <w:pPr>
        <w:rPr>
          <w:b/>
          <w:bCs/>
          <w:lang w:val="en-GB"/>
        </w:rPr>
      </w:pPr>
      <w:r w:rsidRPr="008A3778">
        <w:rPr>
          <w:b/>
          <w:bCs/>
          <w:lang w:val="en-GB"/>
        </w:rPr>
        <w:t>Observation3: Any country specific requirement could easily be handled via specific BS variant and UE NS signal</w:t>
      </w:r>
      <w:r>
        <w:rPr>
          <w:b/>
          <w:bCs/>
          <w:lang w:val="en-GB"/>
        </w:rPr>
        <w:t>ling</w:t>
      </w:r>
      <w:r w:rsidRPr="008A3778">
        <w:rPr>
          <w:b/>
          <w:bCs/>
          <w:lang w:val="en-GB"/>
        </w:rPr>
        <w:t xml:space="preserve">, as RAN4 </w:t>
      </w:r>
      <w:r>
        <w:rPr>
          <w:b/>
          <w:bCs/>
          <w:lang w:val="en-GB"/>
        </w:rPr>
        <w:t>uses to do</w:t>
      </w:r>
      <w:r w:rsidRPr="008A3778">
        <w:rPr>
          <w:b/>
          <w:bCs/>
          <w:lang w:val="en-GB"/>
        </w:rPr>
        <w:t xml:space="preserve"> for such case.</w:t>
      </w:r>
    </w:p>
    <w:p w14:paraId="6106AC39" w14:textId="4AFF20E7" w:rsidR="004176A2" w:rsidRDefault="00322F5A" w:rsidP="004176A2">
      <w:pPr>
        <w:pStyle w:val="Heading2"/>
      </w:pPr>
      <w:r>
        <w:t xml:space="preserve">Coexistence with </w:t>
      </w:r>
      <w:r w:rsidRPr="00322F5A">
        <w:rPr>
          <w:rFonts w:eastAsia="SimSun"/>
          <w:lang w:val="en-US"/>
        </w:rPr>
        <w:t xml:space="preserve">5945-6425MHz </w:t>
      </w:r>
      <w:r>
        <w:rPr>
          <w:rFonts w:eastAsia="SimSun"/>
        </w:rPr>
        <w:t xml:space="preserve">and </w:t>
      </w:r>
      <w:r w:rsidR="004176A2">
        <w:t>ECC Decision(20)01</w:t>
      </w:r>
    </w:p>
    <w:p w14:paraId="389E1429" w14:textId="0B9068B8" w:rsidR="00322F5A" w:rsidRDefault="00322F5A" w:rsidP="00322F5A">
      <w:pPr>
        <w:rPr>
          <w:lang w:val="en-GB"/>
        </w:rPr>
      </w:pPr>
      <w:r>
        <w:rPr>
          <w:lang w:val="en-GB"/>
        </w:rPr>
        <w:t xml:space="preserve">In last Ran4#101-bis-e meeting, some companies </w:t>
      </w:r>
      <w:r w:rsidR="00D05A9F">
        <w:rPr>
          <w:lang w:val="en-GB"/>
        </w:rPr>
        <w:t xml:space="preserve">expressed </w:t>
      </w:r>
      <w:r w:rsidR="00E72CCB">
        <w:rPr>
          <w:lang w:val="en-GB"/>
        </w:rPr>
        <w:t xml:space="preserve">their </w:t>
      </w:r>
      <w:r>
        <w:rPr>
          <w:lang w:val="en-GB"/>
        </w:rPr>
        <w:t>concern</w:t>
      </w:r>
      <w:r w:rsidR="00D05A9F">
        <w:rPr>
          <w:lang w:val="en-GB"/>
        </w:rPr>
        <w:t>s</w:t>
      </w:r>
      <w:r>
        <w:rPr>
          <w:lang w:val="en-GB"/>
        </w:rPr>
        <w:t xml:space="preserve"> </w:t>
      </w:r>
      <w:r w:rsidR="00D05A9F">
        <w:rPr>
          <w:lang w:val="en-GB"/>
        </w:rPr>
        <w:t xml:space="preserve">regarding </w:t>
      </w:r>
      <w:r>
        <w:rPr>
          <w:lang w:val="en-GB"/>
        </w:rPr>
        <w:t>the co-existence with unlicensed services in the lower 6 GHz</w:t>
      </w:r>
      <w:r w:rsidR="00E72CCB">
        <w:rPr>
          <w:lang w:val="en-GB"/>
        </w:rPr>
        <w:t xml:space="preserve"> and</w:t>
      </w:r>
      <w:r>
        <w:rPr>
          <w:lang w:val="en-GB"/>
        </w:rPr>
        <w:t xml:space="preserve"> </w:t>
      </w:r>
      <w:r w:rsidR="004007BC">
        <w:rPr>
          <w:lang w:val="en-GB"/>
        </w:rPr>
        <w:t>how RCC has taken into account ECC Decision(20)01</w:t>
      </w:r>
      <w:r w:rsidR="00E72CCB">
        <w:rPr>
          <w:lang w:val="en-GB"/>
        </w:rPr>
        <w:t xml:space="preserve">. Indeed,  </w:t>
      </w:r>
      <w:r w:rsidR="00D05A9F">
        <w:rPr>
          <w:lang w:val="en-GB"/>
        </w:rPr>
        <w:t xml:space="preserve">RCC has considered IMT allocation from 6425 MHz, without </w:t>
      </w:r>
      <w:r w:rsidR="00BC789A">
        <w:rPr>
          <w:lang w:val="en-GB"/>
        </w:rPr>
        <w:t>explicitly</w:t>
      </w:r>
      <w:r w:rsidR="00D05A9F">
        <w:rPr>
          <w:lang w:val="en-GB"/>
        </w:rPr>
        <w:t xml:space="preserve"> mentioning any </w:t>
      </w:r>
      <w:r w:rsidR="00886E2A">
        <w:rPr>
          <w:lang w:val="en-GB"/>
        </w:rPr>
        <w:t>relation to</w:t>
      </w:r>
      <w:r w:rsidR="00D05A9F">
        <w:rPr>
          <w:lang w:val="en-GB"/>
        </w:rPr>
        <w:t xml:space="preserve"> ECC Decision(20)01</w:t>
      </w:r>
      <w:r w:rsidR="004007BC">
        <w:rPr>
          <w:lang w:val="en-GB"/>
        </w:rPr>
        <w:t>.</w:t>
      </w:r>
    </w:p>
    <w:p w14:paraId="7E51D831" w14:textId="6EC25727" w:rsidR="00886E2A" w:rsidRDefault="008A3778" w:rsidP="00322F5A">
      <w:pPr>
        <w:rPr>
          <w:lang w:val="en-GB"/>
        </w:rPr>
      </w:pPr>
      <w:r>
        <w:rPr>
          <w:lang w:val="en-GB"/>
        </w:rPr>
        <w:t>I</w:t>
      </w:r>
      <w:r w:rsidR="004007BC">
        <w:rPr>
          <w:lang w:val="en-GB"/>
        </w:rPr>
        <w:t>t sh</w:t>
      </w:r>
      <w:r w:rsidR="00A57CD9">
        <w:rPr>
          <w:lang w:val="en-GB"/>
        </w:rPr>
        <w:t>ould</w:t>
      </w:r>
      <w:r w:rsidR="004007BC">
        <w:rPr>
          <w:lang w:val="en-GB"/>
        </w:rPr>
        <w:t xml:space="preserve"> noted that, even if many RCC countries are also CEPT members, this doesn’t imply that all RCC countries will implement that ECC Decision</w:t>
      </w:r>
      <w:r w:rsidR="00886E2A">
        <w:rPr>
          <w:lang w:val="en-GB"/>
        </w:rPr>
        <w:t>, as ECC Decisions are not binding regulations for CEPT countries</w:t>
      </w:r>
      <w:r w:rsidR="004007BC">
        <w:rPr>
          <w:lang w:val="en-GB"/>
        </w:rPr>
        <w:t xml:space="preserve">. </w:t>
      </w:r>
      <w:r w:rsidR="00886E2A">
        <w:rPr>
          <w:lang w:val="en-GB"/>
        </w:rPr>
        <w:t>Indeed</w:t>
      </w:r>
      <w:r w:rsidR="004007BC">
        <w:rPr>
          <w:lang w:val="en-GB"/>
        </w:rPr>
        <w:t xml:space="preserve">, this is exactly the case: one RCC country has </w:t>
      </w:r>
      <w:r>
        <w:rPr>
          <w:lang w:val="en-GB"/>
        </w:rPr>
        <w:t xml:space="preserve">already </w:t>
      </w:r>
      <w:r w:rsidR="004007BC">
        <w:rPr>
          <w:lang w:val="en-GB"/>
        </w:rPr>
        <w:t xml:space="preserve">indicated it will not implement this decision (see ECC Decision(20)02 Implementation Status on ECO website), and many others have not yet </w:t>
      </w:r>
      <w:r>
        <w:rPr>
          <w:lang w:val="en-GB"/>
        </w:rPr>
        <w:t>clarified</w:t>
      </w:r>
      <w:r w:rsidR="004007BC">
        <w:rPr>
          <w:lang w:val="en-GB"/>
        </w:rPr>
        <w:t xml:space="preserve"> their decision.</w:t>
      </w:r>
    </w:p>
    <w:p w14:paraId="1E0F9746" w14:textId="652A9386" w:rsidR="004007BC" w:rsidRDefault="004007BC" w:rsidP="00322F5A">
      <w:pPr>
        <w:rPr>
          <w:lang w:val="en-GB"/>
        </w:rPr>
      </w:pPr>
      <w:r>
        <w:rPr>
          <w:lang w:val="en-GB"/>
        </w:rPr>
        <w:t xml:space="preserve">This means that, if there is any additional </w:t>
      </w:r>
      <w:r w:rsidR="00886E2A">
        <w:rPr>
          <w:lang w:val="en-GB"/>
        </w:rPr>
        <w:t xml:space="preserve">regulatory </w:t>
      </w:r>
      <w:r>
        <w:rPr>
          <w:lang w:val="en-GB"/>
        </w:rPr>
        <w:t xml:space="preserve">condition specified by a national </w:t>
      </w:r>
      <w:r w:rsidR="00C70E3D">
        <w:rPr>
          <w:lang w:val="en-GB"/>
        </w:rPr>
        <w:t xml:space="preserve">RCC </w:t>
      </w:r>
      <w:r>
        <w:rPr>
          <w:lang w:val="en-GB"/>
        </w:rPr>
        <w:t xml:space="preserve">Regulator to handle the coexistence with </w:t>
      </w:r>
      <w:r w:rsidR="00886E2A">
        <w:rPr>
          <w:lang w:val="en-GB"/>
        </w:rPr>
        <w:t>unlicensed operation below 6425 MHz</w:t>
      </w:r>
      <w:r w:rsidR="00C70E3D">
        <w:rPr>
          <w:lang w:val="en-GB"/>
        </w:rPr>
        <w:t xml:space="preserve">, this shall be managed via as a specific requirement for BS and as a NS signal for UE. This is a very common situation that RAN4 used to </w:t>
      </w:r>
      <w:r w:rsidR="00B924D9">
        <w:rPr>
          <w:lang w:val="en-GB"/>
        </w:rPr>
        <w:t>manage</w:t>
      </w:r>
      <w:r w:rsidR="00C70E3D">
        <w:rPr>
          <w:lang w:val="en-GB"/>
        </w:rPr>
        <w:t>.</w:t>
      </w:r>
      <w:r>
        <w:rPr>
          <w:lang w:val="en-GB"/>
        </w:rPr>
        <w:t xml:space="preserve"> </w:t>
      </w:r>
    </w:p>
    <w:p w14:paraId="504FD1AD" w14:textId="633861A9" w:rsidR="00322F5A" w:rsidRDefault="00A57CD9" w:rsidP="00322F5A">
      <w:pPr>
        <w:rPr>
          <w:b/>
          <w:bCs/>
          <w:lang w:val="en-GB"/>
        </w:rPr>
      </w:pPr>
      <w:r w:rsidRPr="00706D5D">
        <w:rPr>
          <w:b/>
          <w:bCs/>
          <w:lang w:val="en-GB"/>
        </w:rPr>
        <w:t xml:space="preserve">Observation4: </w:t>
      </w:r>
      <w:r w:rsidR="00886E2A">
        <w:rPr>
          <w:b/>
          <w:bCs/>
          <w:lang w:val="en-GB"/>
        </w:rPr>
        <w:t xml:space="preserve">ECC Decisions are not binding regulations for CEPT countries. In particular, </w:t>
      </w:r>
      <w:r w:rsidR="00706D5D" w:rsidRPr="00706D5D">
        <w:rPr>
          <w:b/>
          <w:bCs/>
          <w:lang w:val="en-GB"/>
        </w:rPr>
        <w:t>ECC Decision(20)01 will not be implement</w:t>
      </w:r>
      <w:r w:rsidR="00704B71">
        <w:rPr>
          <w:b/>
          <w:bCs/>
          <w:lang w:val="en-GB"/>
        </w:rPr>
        <w:t>ed</w:t>
      </w:r>
      <w:r w:rsidR="00706D5D" w:rsidRPr="00706D5D">
        <w:rPr>
          <w:b/>
          <w:bCs/>
          <w:lang w:val="en-GB"/>
        </w:rPr>
        <w:t xml:space="preserve"> by all RCC countries and should be managed at country level.</w:t>
      </w:r>
    </w:p>
    <w:p w14:paraId="08F8FAA8" w14:textId="49E9BA46" w:rsidR="00706D5D" w:rsidRDefault="00706D5D" w:rsidP="00706D5D">
      <w:pPr>
        <w:pStyle w:val="Heading2"/>
      </w:pPr>
      <w:r>
        <w:lastRenderedPageBreak/>
        <w:t>Conclusion</w:t>
      </w:r>
    </w:p>
    <w:p w14:paraId="269BEE71" w14:textId="68952AFC" w:rsidR="00706D5D" w:rsidRDefault="00706D5D" w:rsidP="00706D5D">
      <w:pPr>
        <w:rPr>
          <w:lang w:val="en-GB"/>
        </w:rPr>
      </w:pPr>
      <w:r>
        <w:rPr>
          <w:lang w:val="en-GB"/>
        </w:rPr>
        <w:t>Based on the previous observations, we think RAN4 has enough information to finalize the specification of the new licensed band n104 in frequency range 6425-7125 MHz.</w:t>
      </w:r>
    </w:p>
    <w:p w14:paraId="3D9EF75D" w14:textId="65F534A8" w:rsidR="00706D5D" w:rsidRDefault="00886E2A" w:rsidP="00706D5D">
      <w:pPr>
        <w:rPr>
          <w:lang w:val="en-GB"/>
        </w:rPr>
      </w:pPr>
      <w:r>
        <w:rPr>
          <w:lang w:val="en-GB"/>
        </w:rPr>
        <w:t>In addition</w:t>
      </w:r>
      <w:r w:rsidR="00706D5D">
        <w:rPr>
          <w:lang w:val="en-GB"/>
        </w:rPr>
        <w:t xml:space="preserve">, </w:t>
      </w:r>
      <w:r>
        <w:rPr>
          <w:lang w:val="en-GB"/>
        </w:rPr>
        <w:t xml:space="preserve">RAN4 should not send </w:t>
      </w:r>
      <w:r w:rsidR="00706D5D">
        <w:rPr>
          <w:lang w:val="en-GB"/>
        </w:rPr>
        <w:t>a</w:t>
      </w:r>
      <w:r>
        <w:rPr>
          <w:lang w:val="en-GB"/>
        </w:rPr>
        <w:t>n</w:t>
      </w:r>
      <w:r w:rsidR="00706D5D">
        <w:rPr>
          <w:lang w:val="en-GB"/>
        </w:rPr>
        <w:t xml:space="preserve"> LS to RCC asking for additional information that </w:t>
      </w:r>
      <w:r>
        <w:rPr>
          <w:lang w:val="en-GB"/>
        </w:rPr>
        <w:t xml:space="preserve">has already been considered by the RCC region. We would like to remind RAN4 that it is the role of regulations to ensure co-existence with adjacent services and RCC has already considered this. </w:t>
      </w:r>
    </w:p>
    <w:p w14:paraId="2126014F" w14:textId="4388D4AB" w:rsidR="00706D5D" w:rsidRPr="00B15DB1" w:rsidRDefault="00706D5D" w:rsidP="00706D5D">
      <w:pPr>
        <w:rPr>
          <w:b/>
          <w:bCs/>
          <w:lang w:val="en-GB"/>
        </w:rPr>
      </w:pPr>
      <w:r w:rsidRPr="00B15DB1">
        <w:rPr>
          <w:b/>
          <w:bCs/>
          <w:lang w:val="en-GB"/>
        </w:rPr>
        <w:t xml:space="preserve">Proposal: RCC Recommendation is self sufficient to introduce band n104 in RAN4 </w:t>
      </w:r>
      <w:r w:rsidR="00BC789A" w:rsidRPr="00B15DB1">
        <w:rPr>
          <w:b/>
          <w:bCs/>
          <w:lang w:val="en-GB"/>
        </w:rPr>
        <w:t>specifications</w:t>
      </w:r>
      <w:r w:rsidRPr="00B15DB1">
        <w:rPr>
          <w:b/>
          <w:bCs/>
          <w:lang w:val="en-GB"/>
        </w:rPr>
        <w:t xml:space="preserve">. </w:t>
      </w:r>
    </w:p>
    <w:p w14:paraId="7148FEC0" w14:textId="77777777" w:rsidR="00706D5D" w:rsidRPr="00706D5D" w:rsidRDefault="00706D5D" w:rsidP="00706D5D">
      <w:pPr>
        <w:rPr>
          <w:lang w:val="en-GB"/>
        </w:rPr>
      </w:pPr>
    </w:p>
    <w:p w14:paraId="54785DD3" w14:textId="77777777" w:rsidR="00322F5A" w:rsidRPr="00322F5A" w:rsidRDefault="00322F5A" w:rsidP="00322F5A">
      <w:pPr>
        <w:rPr>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6CCD33CD" w14:textId="68FA7B05" w:rsidR="00117A69" w:rsidRDefault="007C2B60" w:rsidP="00607C86">
      <w:pPr>
        <w:spacing w:after="120"/>
        <w:jc w:val="both"/>
        <w:rPr>
          <w:lang w:val="en-US"/>
        </w:rPr>
      </w:pPr>
      <w:r w:rsidRPr="00155E69">
        <w:rPr>
          <w:lang w:val="en-US"/>
        </w:rPr>
        <w:t xml:space="preserve">In this contribution, we </w:t>
      </w:r>
      <w:r w:rsidR="00262C7B" w:rsidRPr="00155E69">
        <w:rPr>
          <w:lang w:val="en-US"/>
        </w:rPr>
        <w:t xml:space="preserve">further discussed the </w:t>
      </w:r>
      <w:r w:rsidR="000260FC" w:rsidRPr="00155E69">
        <w:rPr>
          <w:lang w:val="en-US"/>
        </w:rPr>
        <w:t xml:space="preserve">RCC Recommendation </w:t>
      </w:r>
      <w:r w:rsidR="00B21E7E" w:rsidRPr="00155E69">
        <w:rPr>
          <w:lang w:val="en-US"/>
        </w:rPr>
        <w:t>and coexistence related aspects</w:t>
      </w:r>
      <w:r w:rsidR="00117A69" w:rsidRPr="00155E69">
        <w:rPr>
          <w:lang w:val="en-US"/>
        </w:rPr>
        <w:t>.</w:t>
      </w:r>
      <w:r w:rsidR="00B21E7E" w:rsidRPr="00155E69">
        <w:rPr>
          <w:lang w:val="en-US"/>
        </w:rPr>
        <w:t xml:space="preserve"> We made the following observations and proposal:</w:t>
      </w:r>
    </w:p>
    <w:p w14:paraId="667A6313" w14:textId="77777777" w:rsidR="00704B71" w:rsidRPr="00E72CCB" w:rsidRDefault="00704B71" w:rsidP="00704B71">
      <w:pPr>
        <w:rPr>
          <w:b/>
          <w:bCs/>
          <w:lang w:val="en-GB"/>
        </w:rPr>
      </w:pPr>
      <w:r w:rsidRPr="00E72CCB">
        <w:rPr>
          <w:b/>
          <w:bCs/>
          <w:lang w:val="en-GB"/>
        </w:rPr>
        <w:t xml:space="preserve">Observation1: As mentioned in RCC Recommendation, RCC has considered coexistence with incumbent services and proposes </w:t>
      </w:r>
      <w:r>
        <w:rPr>
          <w:b/>
          <w:bCs/>
          <w:lang w:val="en-GB"/>
        </w:rPr>
        <w:t>a flexible band plan to address this issue</w:t>
      </w:r>
      <w:r w:rsidRPr="00E72CCB">
        <w:rPr>
          <w:b/>
          <w:bCs/>
          <w:lang w:val="en-GB"/>
        </w:rPr>
        <w:t>.</w:t>
      </w:r>
    </w:p>
    <w:p w14:paraId="0D1854AA" w14:textId="77777777" w:rsidR="00704B71" w:rsidRPr="00E72CCB" w:rsidRDefault="00704B71" w:rsidP="00704B71">
      <w:pPr>
        <w:rPr>
          <w:b/>
          <w:bCs/>
          <w:lang w:val="en-GB"/>
        </w:rPr>
      </w:pPr>
      <w:r w:rsidRPr="00E72CCB">
        <w:rPr>
          <w:b/>
          <w:bCs/>
          <w:lang w:val="en-GB"/>
        </w:rPr>
        <w:t>Observation2: RCC Recommendation has not specified any additional limit for the 6425-7125GHz band</w:t>
      </w:r>
      <w:r>
        <w:rPr>
          <w:b/>
          <w:bCs/>
          <w:lang w:val="en-GB"/>
        </w:rPr>
        <w:t xml:space="preserve"> for co-existence with services in the same or adjacent band</w:t>
      </w:r>
      <w:r w:rsidRPr="00E72CCB">
        <w:rPr>
          <w:b/>
          <w:bCs/>
          <w:lang w:val="en-GB"/>
        </w:rPr>
        <w:t xml:space="preserve">. </w:t>
      </w:r>
    </w:p>
    <w:p w14:paraId="7974A6E4" w14:textId="77777777" w:rsidR="00704B71" w:rsidRPr="008A3778" w:rsidRDefault="00704B71" w:rsidP="00704B71">
      <w:pPr>
        <w:rPr>
          <w:b/>
          <w:bCs/>
          <w:lang w:val="en-GB"/>
        </w:rPr>
      </w:pPr>
      <w:r w:rsidRPr="008A3778">
        <w:rPr>
          <w:b/>
          <w:bCs/>
          <w:lang w:val="en-GB"/>
        </w:rPr>
        <w:t>Observation3: Any country specific requirement could easily be handled via specific BS variant and UE NS signal</w:t>
      </w:r>
      <w:r>
        <w:rPr>
          <w:b/>
          <w:bCs/>
          <w:lang w:val="en-GB"/>
        </w:rPr>
        <w:t>ling</w:t>
      </w:r>
      <w:r w:rsidRPr="008A3778">
        <w:rPr>
          <w:b/>
          <w:bCs/>
          <w:lang w:val="en-GB"/>
        </w:rPr>
        <w:t xml:space="preserve">, as RAN4 </w:t>
      </w:r>
      <w:r>
        <w:rPr>
          <w:b/>
          <w:bCs/>
          <w:lang w:val="en-GB"/>
        </w:rPr>
        <w:t>uses to do</w:t>
      </w:r>
      <w:r w:rsidRPr="008A3778">
        <w:rPr>
          <w:b/>
          <w:bCs/>
          <w:lang w:val="en-GB"/>
        </w:rPr>
        <w:t xml:space="preserve"> for such case.</w:t>
      </w:r>
    </w:p>
    <w:p w14:paraId="4F1BEC12" w14:textId="0EB40BC4" w:rsidR="00704B71" w:rsidRDefault="00704B71" w:rsidP="00704B71">
      <w:pPr>
        <w:rPr>
          <w:b/>
          <w:bCs/>
          <w:lang w:val="en-GB"/>
        </w:rPr>
      </w:pPr>
      <w:r w:rsidRPr="00706D5D">
        <w:rPr>
          <w:b/>
          <w:bCs/>
          <w:lang w:val="en-GB"/>
        </w:rPr>
        <w:t xml:space="preserve">Observation4: </w:t>
      </w:r>
      <w:r>
        <w:rPr>
          <w:b/>
          <w:bCs/>
          <w:lang w:val="en-GB"/>
        </w:rPr>
        <w:t xml:space="preserve">ECC Decisions are not binding regulations for CEPT countries. In particular, </w:t>
      </w:r>
      <w:r w:rsidRPr="00706D5D">
        <w:rPr>
          <w:b/>
          <w:bCs/>
          <w:lang w:val="en-GB"/>
        </w:rPr>
        <w:t>ECC Decision(20)01 will not be implement</w:t>
      </w:r>
      <w:r>
        <w:rPr>
          <w:b/>
          <w:bCs/>
          <w:lang w:val="en-GB"/>
        </w:rPr>
        <w:t>ed</w:t>
      </w:r>
      <w:r w:rsidRPr="00706D5D">
        <w:rPr>
          <w:b/>
          <w:bCs/>
          <w:lang w:val="en-GB"/>
        </w:rPr>
        <w:t xml:space="preserve"> by all RCC countries and should be managed at country level.</w:t>
      </w:r>
    </w:p>
    <w:p w14:paraId="7AC88F64" w14:textId="77777777" w:rsidR="00704B71" w:rsidRDefault="00704B71" w:rsidP="00704B71">
      <w:pPr>
        <w:rPr>
          <w:b/>
          <w:bCs/>
          <w:lang w:val="en-GB"/>
        </w:rPr>
      </w:pPr>
    </w:p>
    <w:p w14:paraId="6C4E6966" w14:textId="7B31EA0F" w:rsidR="00704B71" w:rsidRDefault="00704B71" w:rsidP="00704B71">
      <w:pPr>
        <w:rPr>
          <w:b/>
          <w:bCs/>
          <w:lang w:val="en-GB"/>
        </w:rPr>
      </w:pPr>
      <w:r w:rsidRPr="00B15DB1">
        <w:rPr>
          <w:b/>
          <w:bCs/>
          <w:lang w:val="en-GB"/>
        </w:rPr>
        <w:t xml:space="preserve">Proposal: RCC Recommendation is self sufficient to introduce band n104 in RAN4 specifications. </w:t>
      </w:r>
    </w:p>
    <w:p w14:paraId="44ED2FAB" w14:textId="77777777" w:rsidR="00704B71" w:rsidRPr="00704B71" w:rsidRDefault="00704B71" w:rsidP="00704B71">
      <w:pPr>
        <w:rPr>
          <w:b/>
          <w:bCs/>
          <w:lang w:val="en-GB"/>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1968BD8" w14:textId="69AC53A6" w:rsidR="00113494" w:rsidRPr="00155E69" w:rsidRDefault="00360077" w:rsidP="00590DA4">
      <w:pPr>
        <w:numPr>
          <w:ilvl w:val="0"/>
          <w:numId w:val="9"/>
        </w:numPr>
        <w:rPr>
          <w:bCs/>
          <w:lang w:val="en-US"/>
        </w:rPr>
      </w:pPr>
      <w:bookmarkStart w:id="1" w:name="_Ref91685314"/>
      <w:bookmarkStart w:id="2" w:name="_Hlk91678565"/>
      <w:r w:rsidRPr="00155E69">
        <w:rPr>
          <w:bCs/>
          <w:lang w:val="en-US"/>
        </w:rPr>
        <w:t>RP-213696, WI I</w:t>
      </w:r>
      <w:r w:rsidRPr="00155E69">
        <w:rPr>
          <w:lang w:val="en-US"/>
        </w:rPr>
        <w:t>ntroduction of 6GHz NR licensed bands, Huawei</w:t>
      </w:r>
      <w:bookmarkEnd w:id="1"/>
    </w:p>
    <w:p w14:paraId="0BF3C290" w14:textId="21441734" w:rsidR="00360077" w:rsidRPr="00155E69" w:rsidRDefault="00360077" w:rsidP="00590DA4">
      <w:pPr>
        <w:numPr>
          <w:ilvl w:val="0"/>
          <w:numId w:val="9"/>
        </w:numPr>
        <w:rPr>
          <w:bCs/>
          <w:lang w:val="en-US"/>
        </w:rPr>
      </w:pPr>
      <w:bookmarkStart w:id="3" w:name="_Ref91685382"/>
      <w:bookmarkStart w:id="4" w:name="_Ref91690595"/>
      <w:r w:rsidRPr="00155E69">
        <w:rPr>
          <w:bCs/>
          <w:lang w:val="en-US"/>
        </w:rPr>
        <w:t>RP-213605, “LS on inclusion of the 6425-7125 MHz frequency band in the 3GPP specification for 5G-NR/IMT-2000 systems”, Regional Commonwealth in the field of Communication (RCC)</w:t>
      </w:r>
      <w:bookmarkEnd w:id="3"/>
      <w:r w:rsidR="00096D7B" w:rsidRPr="00155E69">
        <w:rPr>
          <w:bCs/>
          <w:lang w:val="en-US"/>
        </w:rPr>
        <w:t>.</w:t>
      </w:r>
      <w:bookmarkEnd w:id="4"/>
    </w:p>
    <w:p w14:paraId="4C3AFAC9" w14:textId="5BDA4682" w:rsidR="00096D7B" w:rsidRPr="00155E69" w:rsidRDefault="00096D7B" w:rsidP="00590DA4">
      <w:pPr>
        <w:numPr>
          <w:ilvl w:val="0"/>
          <w:numId w:val="9"/>
        </w:numPr>
        <w:rPr>
          <w:bCs/>
          <w:lang w:val="en-US"/>
        </w:rPr>
      </w:pPr>
      <w:bookmarkStart w:id="5" w:name="_Ref91690587"/>
      <w:r w:rsidRPr="00155E69">
        <w:rPr>
          <w:bCs/>
          <w:lang w:val="en-US"/>
        </w:rPr>
        <w:t>TR 38.921, Study on International Mobile Telecommunications (IMT) parameters for 6.425 - 7.025 GHz, 7.025 - 7.125 GHz and 10.0 - 10.5 GHz</w:t>
      </w:r>
      <w:bookmarkEnd w:id="5"/>
    </w:p>
    <w:p w14:paraId="5FCFD186" w14:textId="6688F81A" w:rsidR="00121B45" w:rsidRPr="00155E69" w:rsidRDefault="00121B45" w:rsidP="00590DA4">
      <w:pPr>
        <w:numPr>
          <w:ilvl w:val="0"/>
          <w:numId w:val="9"/>
        </w:numPr>
        <w:rPr>
          <w:bCs/>
          <w:lang w:val="en-US"/>
        </w:rPr>
      </w:pPr>
      <w:bookmarkStart w:id="6" w:name="_Ref95134949"/>
      <w:r w:rsidRPr="00155E69">
        <w:rPr>
          <w:bCs/>
          <w:lang w:val="en-US"/>
        </w:rPr>
        <w:t>R4-2202268, WF on BS RF requirements for 6GHz licensed band, CATT</w:t>
      </w:r>
    </w:p>
    <w:bookmarkEnd w:id="2"/>
    <w:bookmarkEnd w:id="6"/>
    <w:p w14:paraId="7FCD6E2E" w14:textId="60713D52" w:rsidR="00590DA4" w:rsidRPr="00155E69" w:rsidRDefault="00590DA4" w:rsidP="00590DA4">
      <w:pPr>
        <w:rPr>
          <w:bCs/>
          <w:lang w:val="en-US"/>
        </w:rPr>
      </w:pPr>
    </w:p>
    <w:sectPr w:rsidR="00590DA4" w:rsidRPr="00155E6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EA31C" w14:textId="77777777" w:rsidR="00C90452" w:rsidRDefault="00C90452">
      <w:r>
        <w:separator/>
      </w:r>
    </w:p>
  </w:endnote>
  <w:endnote w:type="continuationSeparator" w:id="0">
    <w:p w14:paraId="0731E870" w14:textId="77777777" w:rsidR="00C90452" w:rsidRDefault="00C90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5EFBB" w14:textId="77777777" w:rsidR="00C90452" w:rsidRDefault="00C90452">
      <w:r>
        <w:separator/>
      </w:r>
    </w:p>
  </w:footnote>
  <w:footnote w:type="continuationSeparator" w:id="0">
    <w:p w14:paraId="0C42C43A" w14:textId="77777777" w:rsidR="00C90452" w:rsidRDefault="00C90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1D36"/>
    <w:multiLevelType w:val="hybridMultilevel"/>
    <w:tmpl w:val="17DE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506086A"/>
    <w:multiLevelType w:val="hybridMultilevel"/>
    <w:tmpl w:val="16ECD950"/>
    <w:lvl w:ilvl="0" w:tplc="516861D4">
      <w:start w:val="1"/>
      <w:numFmt w:val="bullet"/>
      <w:lvlText w:val="-"/>
      <w:lvlJc w:val="left"/>
      <w:pPr>
        <w:ind w:left="1429" w:hanging="360"/>
      </w:pPr>
      <w:rPr>
        <w:rFonts w:ascii="Calibri" w:eastAsia="Times New Roman" w:hAnsi="Calibri" w:cs="Calibri"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1"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197A3E"/>
    <w:multiLevelType w:val="hybridMultilevel"/>
    <w:tmpl w:val="1F324A64"/>
    <w:lvl w:ilvl="0" w:tplc="3E129100">
      <w:start w:val="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60621F1"/>
    <w:multiLevelType w:val="hybridMultilevel"/>
    <w:tmpl w:val="9CC84DF0"/>
    <w:lvl w:ilvl="0" w:tplc="B7FCF2A0">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9A90100"/>
    <w:multiLevelType w:val="hybridMultilevel"/>
    <w:tmpl w:val="11C03230"/>
    <w:lvl w:ilvl="0" w:tplc="C4A0BFD4">
      <w:start w:val="1"/>
      <w:numFmt w:val="decimal"/>
      <w:lvlText w:val="%1)"/>
      <w:lvlJc w:val="left"/>
      <w:pPr>
        <w:tabs>
          <w:tab w:val="num" w:pos="720"/>
        </w:tabs>
        <w:ind w:left="720" w:hanging="360"/>
      </w:pPr>
    </w:lvl>
    <w:lvl w:ilvl="1" w:tplc="CDD60360" w:tentative="1">
      <w:start w:val="1"/>
      <w:numFmt w:val="decimal"/>
      <w:lvlText w:val="%2)"/>
      <w:lvlJc w:val="left"/>
      <w:pPr>
        <w:tabs>
          <w:tab w:val="num" w:pos="1440"/>
        </w:tabs>
        <w:ind w:left="1440" w:hanging="360"/>
      </w:pPr>
    </w:lvl>
    <w:lvl w:ilvl="2" w:tplc="C3C6331C" w:tentative="1">
      <w:start w:val="1"/>
      <w:numFmt w:val="decimal"/>
      <w:lvlText w:val="%3)"/>
      <w:lvlJc w:val="left"/>
      <w:pPr>
        <w:tabs>
          <w:tab w:val="num" w:pos="2160"/>
        </w:tabs>
        <w:ind w:left="2160" w:hanging="360"/>
      </w:pPr>
    </w:lvl>
    <w:lvl w:ilvl="3" w:tplc="2E2481F0" w:tentative="1">
      <w:start w:val="1"/>
      <w:numFmt w:val="decimal"/>
      <w:lvlText w:val="%4)"/>
      <w:lvlJc w:val="left"/>
      <w:pPr>
        <w:tabs>
          <w:tab w:val="num" w:pos="2880"/>
        </w:tabs>
        <w:ind w:left="2880" w:hanging="360"/>
      </w:pPr>
    </w:lvl>
    <w:lvl w:ilvl="4" w:tplc="781E8CB4">
      <w:start w:val="1"/>
      <w:numFmt w:val="decimal"/>
      <w:lvlText w:val="%5)"/>
      <w:lvlJc w:val="left"/>
      <w:pPr>
        <w:tabs>
          <w:tab w:val="num" w:pos="3600"/>
        </w:tabs>
        <w:ind w:left="3600" w:hanging="360"/>
      </w:pPr>
    </w:lvl>
    <w:lvl w:ilvl="5" w:tplc="4F96988A">
      <w:numFmt w:val="bullet"/>
      <w:lvlText w:val="o"/>
      <w:lvlJc w:val="left"/>
      <w:pPr>
        <w:tabs>
          <w:tab w:val="num" w:pos="4320"/>
        </w:tabs>
        <w:ind w:left="4320" w:hanging="360"/>
      </w:pPr>
      <w:rPr>
        <w:rFonts w:ascii="Courier New" w:hAnsi="Courier New" w:hint="default"/>
      </w:rPr>
    </w:lvl>
    <w:lvl w:ilvl="6" w:tplc="74320D1C" w:tentative="1">
      <w:start w:val="1"/>
      <w:numFmt w:val="decimal"/>
      <w:lvlText w:val="%7)"/>
      <w:lvlJc w:val="left"/>
      <w:pPr>
        <w:tabs>
          <w:tab w:val="num" w:pos="5040"/>
        </w:tabs>
        <w:ind w:left="5040" w:hanging="360"/>
      </w:pPr>
    </w:lvl>
    <w:lvl w:ilvl="7" w:tplc="566CD5F4" w:tentative="1">
      <w:start w:val="1"/>
      <w:numFmt w:val="decimal"/>
      <w:lvlText w:val="%8)"/>
      <w:lvlJc w:val="left"/>
      <w:pPr>
        <w:tabs>
          <w:tab w:val="num" w:pos="5760"/>
        </w:tabs>
        <w:ind w:left="5760" w:hanging="360"/>
      </w:pPr>
    </w:lvl>
    <w:lvl w:ilvl="8" w:tplc="9CF602C6" w:tentative="1">
      <w:start w:val="1"/>
      <w:numFmt w:val="decimal"/>
      <w:lvlText w:val="%9)"/>
      <w:lvlJc w:val="left"/>
      <w:pPr>
        <w:tabs>
          <w:tab w:val="num" w:pos="6480"/>
        </w:tabs>
        <w:ind w:left="6480" w:hanging="360"/>
      </w:pPr>
    </w:lvl>
  </w:abstractNum>
  <w:abstractNum w:abstractNumId="20" w15:restartNumberingAfterBreak="0">
    <w:nsid w:val="66B9203B"/>
    <w:multiLevelType w:val="hybridMultilevel"/>
    <w:tmpl w:val="1E1C662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0"/>
  </w:num>
  <w:num w:numId="2">
    <w:abstractNumId w:val="8"/>
  </w:num>
  <w:num w:numId="3">
    <w:abstractNumId w:val="23"/>
  </w:num>
  <w:num w:numId="4">
    <w:abstractNumId w:val="2"/>
  </w:num>
  <w:num w:numId="5">
    <w:abstractNumId w:val="16"/>
  </w:num>
  <w:num w:numId="6">
    <w:abstractNumId w:val="13"/>
  </w:num>
  <w:num w:numId="7">
    <w:abstractNumId w:val="11"/>
  </w:num>
  <w:num w:numId="8">
    <w:abstractNumId w:val="18"/>
  </w:num>
  <w:num w:numId="9">
    <w:abstractNumId w:val="26"/>
  </w:num>
  <w:num w:numId="10">
    <w:abstractNumId w:val="21"/>
  </w:num>
  <w:num w:numId="11">
    <w:abstractNumId w:val="12"/>
  </w:num>
  <w:num w:numId="12">
    <w:abstractNumId w:val="22"/>
  </w:num>
  <w:num w:numId="13">
    <w:abstractNumId w:val="24"/>
  </w:num>
  <w:num w:numId="14">
    <w:abstractNumId w:val="5"/>
  </w:num>
  <w:num w:numId="15">
    <w:abstractNumId w:val="6"/>
  </w:num>
  <w:num w:numId="16">
    <w:abstractNumId w:val="4"/>
  </w:num>
  <w:num w:numId="17">
    <w:abstractNumId w:val="3"/>
  </w:num>
  <w:num w:numId="18">
    <w:abstractNumId w:val="15"/>
  </w:num>
  <w:num w:numId="19">
    <w:abstractNumId w:val="0"/>
  </w:num>
  <w:num w:numId="20">
    <w:abstractNumId w:val="20"/>
  </w:num>
  <w:num w:numId="21">
    <w:abstractNumId w:val="1"/>
  </w:num>
  <w:num w:numId="22">
    <w:abstractNumId w:val="17"/>
  </w:num>
  <w:num w:numId="23">
    <w:abstractNumId w:val="9"/>
  </w:num>
  <w:num w:numId="24">
    <w:abstractNumId w:val="25"/>
  </w:num>
  <w:num w:numId="25">
    <w:abstractNumId w:val="7"/>
  </w:num>
  <w:num w:numId="26">
    <w:abstractNumId w:val="19"/>
  </w:num>
  <w:num w:numId="2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0FC"/>
    <w:rsid w:val="00026FA7"/>
    <w:rsid w:val="00027617"/>
    <w:rsid w:val="00030408"/>
    <w:rsid w:val="00030AC9"/>
    <w:rsid w:val="0003177F"/>
    <w:rsid w:val="00031E0D"/>
    <w:rsid w:val="00031FAD"/>
    <w:rsid w:val="00031FB9"/>
    <w:rsid w:val="00032CB0"/>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39E"/>
    <w:rsid w:val="00047633"/>
    <w:rsid w:val="000506D1"/>
    <w:rsid w:val="0005124F"/>
    <w:rsid w:val="000512D7"/>
    <w:rsid w:val="0005233D"/>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6D7B"/>
    <w:rsid w:val="000974B5"/>
    <w:rsid w:val="00097679"/>
    <w:rsid w:val="00097E80"/>
    <w:rsid w:val="00097ED2"/>
    <w:rsid w:val="00097EDE"/>
    <w:rsid w:val="00097F4F"/>
    <w:rsid w:val="000A0099"/>
    <w:rsid w:val="000A0AB2"/>
    <w:rsid w:val="000A0B1B"/>
    <w:rsid w:val="000A264E"/>
    <w:rsid w:val="000A4636"/>
    <w:rsid w:val="000A47CE"/>
    <w:rsid w:val="000A47DA"/>
    <w:rsid w:val="000A4A42"/>
    <w:rsid w:val="000A50BA"/>
    <w:rsid w:val="000A5706"/>
    <w:rsid w:val="000A6338"/>
    <w:rsid w:val="000A6DB8"/>
    <w:rsid w:val="000A6EA5"/>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350"/>
    <w:rsid w:val="000D2866"/>
    <w:rsid w:val="000D32B2"/>
    <w:rsid w:val="000D3387"/>
    <w:rsid w:val="000D37A6"/>
    <w:rsid w:val="000D4170"/>
    <w:rsid w:val="000D46C8"/>
    <w:rsid w:val="000D481D"/>
    <w:rsid w:val="000D4C76"/>
    <w:rsid w:val="000D577B"/>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2E79"/>
    <w:rsid w:val="000F3042"/>
    <w:rsid w:val="000F324E"/>
    <w:rsid w:val="000F41F1"/>
    <w:rsid w:val="000F522E"/>
    <w:rsid w:val="000F57DF"/>
    <w:rsid w:val="000F66EF"/>
    <w:rsid w:val="000F693E"/>
    <w:rsid w:val="000F7AF0"/>
    <w:rsid w:val="000F7E5B"/>
    <w:rsid w:val="000F7F74"/>
    <w:rsid w:val="00100079"/>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494"/>
    <w:rsid w:val="001135B7"/>
    <w:rsid w:val="0011405C"/>
    <w:rsid w:val="00114C3A"/>
    <w:rsid w:val="00115661"/>
    <w:rsid w:val="00115B6F"/>
    <w:rsid w:val="00116610"/>
    <w:rsid w:val="00117A69"/>
    <w:rsid w:val="00120BEB"/>
    <w:rsid w:val="0012178E"/>
    <w:rsid w:val="001217F8"/>
    <w:rsid w:val="00121B45"/>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3F5"/>
    <w:rsid w:val="00131FE6"/>
    <w:rsid w:val="00132A39"/>
    <w:rsid w:val="001332B5"/>
    <w:rsid w:val="00133B5A"/>
    <w:rsid w:val="00134034"/>
    <w:rsid w:val="001342CA"/>
    <w:rsid w:val="001344F6"/>
    <w:rsid w:val="00134624"/>
    <w:rsid w:val="0013470A"/>
    <w:rsid w:val="00134CFA"/>
    <w:rsid w:val="001357BA"/>
    <w:rsid w:val="001358F5"/>
    <w:rsid w:val="00136AA9"/>
    <w:rsid w:val="00136EA9"/>
    <w:rsid w:val="001370BE"/>
    <w:rsid w:val="00137C7B"/>
    <w:rsid w:val="00140871"/>
    <w:rsid w:val="0014176E"/>
    <w:rsid w:val="0014195E"/>
    <w:rsid w:val="00141F56"/>
    <w:rsid w:val="00142116"/>
    <w:rsid w:val="00142474"/>
    <w:rsid w:val="001434C8"/>
    <w:rsid w:val="001435AA"/>
    <w:rsid w:val="00143DC6"/>
    <w:rsid w:val="00144442"/>
    <w:rsid w:val="0014482D"/>
    <w:rsid w:val="001453C8"/>
    <w:rsid w:val="00145599"/>
    <w:rsid w:val="001456E1"/>
    <w:rsid w:val="00145CE4"/>
    <w:rsid w:val="00145D6B"/>
    <w:rsid w:val="001479F7"/>
    <w:rsid w:val="001509DA"/>
    <w:rsid w:val="00151910"/>
    <w:rsid w:val="00151992"/>
    <w:rsid w:val="001526B6"/>
    <w:rsid w:val="00152F69"/>
    <w:rsid w:val="001541AC"/>
    <w:rsid w:val="00154630"/>
    <w:rsid w:val="00155E69"/>
    <w:rsid w:val="00156326"/>
    <w:rsid w:val="00156462"/>
    <w:rsid w:val="001575DF"/>
    <w:rsid w:val="001576E5"/>
    <w:rsid w:val="00160202"/>
    <w:rsid w:val="0016060A"/>
    <w:rsid w:val="00160989"/>
    <w:rsid w:val="00160DC5"/>
    <w:rsid w:val="001616B1"/>
    <w:rsid w:val="00161CA5"/>
    <w:rsid w:val="00161F7A"/>
    <w:rsid w:val="00162A2F"/>
    <w:rsid w:val="001638B9"/>
    <w:rsid w:val="00163DF1"/>
    <w:rsid w:val="00164509"/>
    <w:rsid w:val="001652C0"/>
    <w:rsid w:val="00165ECE"/>
    <w:rsid w:val="00166496"/>
    <w:rsid w:val="0016730D"/>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2C26"/>
    <w:rsid w:val="00183006"/>
    <w:rsid w:val="0018319D"/>
    <w:rsid w:val="00183902"/>
    <w:rsid w:val="001857E4"/>
    <w:rsid w:val="00187B37"/>
    <w:rsid w:val="00187CC3"/>
    <w:rsid w:val="001909A3"/>
    <w:rsid w:val="00191532"/>
    <w:rsid w:val="0019159D"/>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6C14"/>
    <w:rsid w:val="001B74F2"/>
    <w:rsid w:val="001B7B9A"/>
    <w:rsid w:val="001C0032"/>
    <w:rsid w:val="001C0578"/>
    <w:rsid w:val="001C0D9C"/>
    <w:rsid w:val="001C14E5"/>
    <w:rsid w:val="001C239A"/>
    <w:rsid w:val="001C26BA"/>
    <w:rsid w:val="001C26FF"/>
    <w:rsid w:val="001C365C"/>
    <w:rsid w:val="001C3BF5"/>
    <w:rsid w:val="001C4F87"/>
    <w:rsid w:val="001C5192"/>
    <w:rsid w:val="001C51E2"/>
    <w:rsid w:val="001C6351"/>
    <w:rsid w:val="001C65D7"/>
    <w:rsid w:val="001D015D"/>
    <w:rsid w:val="001D05E2"/>
    <w:rsid w:val="001D1501"/>
    <w:rsid w:val="001D1A93"/>
    <w:rsid w:val="001D24FD"/>
    <w:rsid w:val="001D2591"/>
    <w:rsid w:val="001D2790"/>
    <w:rsid w:val="001D373C"/>
    <w:rsid w:val="001D4B76"/>
    <w:rsid w:val="001D54D8"/>
    <w:rsid w:val="001D6A68"/>
    <w:rsid w:val="001D6E8D"/>
    <w:rsid w:val="001D7170"/>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37A"/>
    <w:rsid w:val="001F6DF5"/>
    <w:rsid w:val="001F7361"/>
    <w:rsid w:val="002000F1"/>
    <w:rsid w:val="00201172"/>
    <w:rsid w:val="002014C9"/>
    <w:rsid w:val="002016D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674A"/>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24E"/>
    <w:rsid w:val="00231A0C"/>
    <w:rsid w:val="00232A41"/>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7DA"/>
    <w:rsid w:val="00245AA6"/>
    <w:rsid w:val="00245B0B"/>
    <w:rsid w:val="00245BAF"/>
    <w:rsid w:val="00245F64"/>
    <w:rsid w:val="00246106"/>
    <w:rsid w:val="00246396"/>
    <w:rsid w:val="00246998"/>
    <w:rsid w:val="0025007D"/>
    <w:rsid w:val="00250A23"/>
    <w:rsid w:val="00250BF8"/>
    <w:rsid w:val="00251624"/>
    <w:rsid w:val="00252222"/>
    <w:rsid w:val="002527B6"/>
    <w:rsid w:val="002528D6"/>
    <w:rsid w:val="00252BF6"/>
    <w:rsid w:val="00253035"/>
    <w:rsid w:val="002530B6"/>
    <w:rsid w:val="00253D50"/>
    <w:rsid w:val="00254BA1"/>
    <w:rsid w:val="00254CD1"/>
    <w:rsid w:val="00254F4B"/>
    <w:rsid w:val="00255E1E"/>
    <w:rsid w:val="002565E4"/>
    <w:rsid w:val="002566AE"/>
    <w:rsid w:val="00257451"/>
    <w:rsid w:val="00260E64"/>
    <w:rsid w:val="0026205F"/>
    <w:rsid w:val="0026291C"/>
    <w:rsid w:val="00262C7B"/>
    <w:rsid w:val="00263256"/>
    <w:rsid w:val="00263A64"/>
    <w:rsid w:val="00263F59"/>
    <w:rsid w:val="00265907"/>
    <w:rsid w:val="002659B6"/>
    <w:rsid w:val="00265C6F"/>
    <w:rsid w:val="002662D1"/>
    <w:rsid w:val="0026670A"/>
    <w:rsid w:val="002674FA"/>
    <w:rsid w:val="00267933"/>
    <w:rsid w:val="00270430"/>
    <w:rsid w:val="00270BF2"/>
    <w:rsid w:val="00272548"/>
    <w:rsid w:val="00272797"/>
    <w:rsid w:val="00272956"/>
    <w:rsid w:val="00272990"/>
    <w:rsid w:val="0027321B"/>
    <w:rsid w:val="002748FA"/>
    <w:rsid w:val="00274EE7"/>
    <w:rsid w:val="00274F68"/>
    <w:rsid w:val="002753BD"/>
    <w:rsid w:val="002760C2"/>
    <w:rsid w:val="002775F6"/>
    <w:rsid w:val="00277765"/>
    <w:rsid w:val="002778BB"/>
    <w:rsid w:val="00277B2B"/>
    <w:rsid w:val="00280DEF"/>
    <w:rsid w:val="002812A1"/>
    <w:rsid w:val="002816FD"/>
    <w:rsid w:val="00281DE1"/>
    <w:rsid w:val="00282CFC"/>
    <w:rsid w:val="002831F0"/>
    <w:rsid w:val="0028327D"/>
    <w:rsid w:val="00283597"/>
    <w:rsid w:val="0028470F"/>
    <w:rsid w:val="00285270"/>
    <w:rsid w:val="00286875"/>
    <w:rsid w:val="0028699B"/>
    <w:rsid w:val="00287BB8"/>
    <w:rsid w:val="0029074D"/>
    <w:rsid w:val="00290CF1"/>
    <w:rsid w:val="0029166C"/>
    <w:rsid w:val="00291AE1"/>
    <w:rsid w:val="0029212E"/>
    <w:rsid w:val="002928FF"/>
    <w:rsid w:val="00295EA1"/>
    <w:rsid w:val="00296DCC"/>
    <w:rsid w:val="00297B5B"/>
    <w:rsid w:val="00297BD1"/>
    <w:rsid w:val="00297F05"/>
    <w:rsid w:val="002A01C4"/>
    <w:rsid w:val="002A118B"/>
    <w:rsid w:val="002A1401"/>
    <w:rsid w:val="002A1743"/>
    <w:rsid w:val="002A1C4E"/>
    <w:rsid w:val="002A1F19"/>
    <w:rsid w:val="002A2016"/>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381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21A"/>
    <w:rsid w:val="002E48DD"/>
    <w:rsid w:val="002E6BA4"/>
    <w:rsid w:val="002E710D"/>
    <w:rsid w:val="002F04BA"/>
    <w:rsid w:val="002F0B0E"/>
    <w:rsid w:val="002F0EAD"/>
    <w:rsid w:val="002F1B7A"/>
    <w:rsid w:val="002F1E6D"/>
    <w:rsid w:val="002F1FA7"/>
    <w:rsid w:val="002F2AB2"/>
    <w:rsid w:val="002F326E"/>
    <w:rsid w:val="002F3425"/>
    <w:rsid w:val="002F359C"/>
    <w:rsid w:val="002F3966"/>
    <w:rsid w:val="002F412D"/>
    <w:rsid w:val="002F41F9"/>
    <w:rsid w:val="002F5B17"/>
    <w:rsid w:val="002F695D"/>
    <w:rsid w:val="002F7209"/>
    <w:rsid w:val="002F750D"/>
    <w:rsid w:val="002F7FEC"/>
    <w:rsid w:val="00300D4E"/>
    <w:rsid w:val="0030100E"/>
    <w:rsid w:val="003011F1"/>
    <w:rsid w:val="00301DBF"/>
    <w:rsid w:val="00301ECE"/>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2F5A"/>
    <w:rsid w:val="0032300C"/>
    <w:rsid w:val="00323BCF"/>
    <w:rsid w:val="003240BC"/>
    <w:rsid w:val="003243AD"/>
    <w:rsid w:val="003246E5"/>
    <w:rsid w:val="003249EF"/>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00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5C"/>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976"/>
    <w:rsid w:val="00394C30"/>
    <w:rsid w:val="00394E75"/>
    <w:rsid w:val="00394FB4"/>
    <w:rsid w:val="0039634D"/>
    <w:rsid w:val="0039718D"/>
    <w:rsid w:val="0039762F"/>
    <w:rsid w:val="003A00B4"/>
    <w:rsid w:val="003A03A2"/>
    <w:rsid w:val="003A06A6"/>
    <w:rsid w:val="003A14B2"/>
    <w:rsid w:val="003A2653"/>
    <w:rsid w:val="003A2866"/>
    <w:rsid w:val="003A44FC"/>
    <w:rsid w:val="003A5FC3"/>
    <w:rsid w:val="003A68EE"/>
    <w:rsid w:val="003A6A56"/>
    <w:rsid w:val="003A7103"/>
    <w:rsid w:val="003A7C02"/>
    <w:rsid w:val="003B131E"/>
    <w:rsid w:val="003B223E"/>
    <w:rsid w:val="003B2459"/>
    <w:rsid w:val="003B27EE"/>
    <w:rsid w:val="003B2D25"/>
    <w:rsid w:val="003B44EF"/>
    <w:rsid w:val="003B470D"/>
    <w:rsid w:val="003B50C1"/>
    <w:rsid w:val="003B6163"/>
    <w:rsid w:val="003B622E"/>
    <w:rsid w:val="003B682F"/>
    <w:rsid w:val="003B781F"/>
    <w:rsid w:val="003C03CF"/>
    <w:rsid w:val="003C0934"/>
    <w:rsid w:val="003C09CC"/>
    <w:rsid w:val="003C0D6E"/>
    <w:rsid w:val="003C1123"/>
    <w:rsid w:val="003C1E64"/>
    <w:rsid w:val="003C207A"/>
    <w:rsid w:val="003C23E4"/>
    <w:rsid w:val="003C42EB"/>
    <w:rsid w:val="003C46EE"/>
    <w:rsid w:val="003C4B87"/>
    <w:rsid w:val="003C512A"/>
    <w:rsid w:val="003C5BDB"/>
    <w:rsid w:val="003C6850"/>
    <w:rsid w:val="003C69B1"/>
    <w:rsid w:val="003C71A6"/>
    <w:rsid w:val="003C7702"/>
    <w:rsid w:val="003D0A51"/>
    <w:rsid w:val="003D115B"/>
    <w:rsid w:val="003D1A4B"/>
    <w:rsid w:val="003D1B43"/>
    <w:rsid w:val="003D20A3"/>
    <w:rsid w:val="003D256E"/>
    <w:rsid w:val="003D2C1A"/>
    <w:rsid w:val="003D3111"/>
    <w:rsid w:val="003D33A1"/>
    <w:rsid w:val="003D352E"/>
    <w:rsid w:val="003D3652"/>
    <w:rsid w:val="003D40D8"/>
    <w:rsid w:val="003D55B8"/>
    <w:rsid w:val="003D57C1"/>
    <w:rsid w:val="003D597B"/>
    <w:rsid w:val="003D613C"/>
    <w:rsid w:val="003D7B76"/>
    <w:rsid w:val="003E01B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3F7884"/>
    <w:rsid w:val="004007BC"/>
    <w:rsid w:val="00400A61"/>
    <w:rsid w:val="004017E5"/>
    <w:rsid w:val="00401A6B"/>
    <w:rsid w:val="00401B2B"/>
    <w:rsid w:val="00402373"/>
    <w:rsid w:val="00403014"/>
    <w:rsid w:val="00403415"/>
    <w:rsid w:val="00404363"/>
    <w:rsid w:val="00404509"/>
    <w:rsid w:val="00404ED2"/>
    <w:rsid w:val="00406266"/>
    <w:rsid w:val="004063D7"/>
    <w:rsid w:val="00406762"/>
    <w:rsid w:val="00411774"/>
    <w:rsid w:val="00411B81"/>
    <w:rsid w:val="00412841"/>
    <w:rsid w:val="004132E9"/>
    <w:rsid w:val="0041369D"/>
    <w:rsid w:val="00413B22"/>
    <w:rsid w:val="004149FF"/>
    <w:rsid w:val="00415078"/>
    <w:rsid w:val="00415C92"/>
    <w:rsid w:val="004164E7"/>
    <w:rsid w:val="00416637"/>
    <w:rsid w:val="0041688D"/>
    <w:rsid w:val="00416D15"/>
    <w:rsid w:val="004174A1"/>
    <w:rsid w:val="004176A2"/>
    <w:rsid w:val="00421417"/>
    <w:rsid w:val="00422217"/>
    <w:rsid w:val="004223AF"/>
    <w:rsid w:val="0042245E"/>
    <w:rsid w:val="00423739"/>
    <w:rsid w:val="00423D6B"/>
    <w:rsid w:val="004241C5"/>
    <w:rsid w:val="00424983"/>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142D"/>
    <w:rsid w:val="004744D7"/>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87E19"/>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B0B"/>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6A8"/>
    <w:rsid w:val="004B1D5F"/>
    <w:rsid w:val="004B26E9"/>
    <w:rsid w:val="004B2877"/>
    <w:rsid w:val="004B28F3"/>
    <w:rsid w:val="004B2FD9"/>
    <w:rsid w:val="004B49FD"/>
    <w:rsid w:val="004B4BA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098"/>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48C"/>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0B59"/>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0DA4"/>
    <w:rsid w:val="005914B6"/>
    <w:rsid w:val="00591D3A"/>
    <w:rsid w:val="0059303E"/>
    <w:rsid w:val="00594865"/>
    <w:rsid w:val="00594C63"/>
    <w:rsid w:val="00595FD7"/>
    <w:rsid w:val="005962C7"/>
    <w:rsid w:val="005971E7"/>
    <w:rsid w:val="005973C7"/>
    <w:rsid w:val="00597D0B"/>
    <w:rsid w:val="005A0EB0"/>
    <w:rsid w:val="005A173A"/>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C40"/>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34B"/>
    <w:rsid w:val="005E0F50"/>
    <w:rsid w:val="005E13F6"/>
    <w:rsid w:val="005E2157"/>
    <w:rsid w:val="005E24CC"/>
    <w:rsid w:val="005E2545"/>
    <w:rsid w:val="005E27EC"/>
    <w:rsid w:val="005E3FC0"/>
    <w:rsid w:val="005E438A"/>
    <w:rsid w:val="005E5A0D"/>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B1A"/>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C86"/>
    <w:rsid w:val="00607E58"/>
    <w:rsid w:val="00610F05"/>
    <w:rsid w:val="00611255"/>
    <w:rsid w:val="0061167F"/>
    <w:rsid w:val="00611769"/>
    <w:rsid w:val="00611ABC"/>
    <w:rsid w:val="00611FF1"/>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3DBC"/>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54F1"/>
    <w:rsid w:val="006464A4"/>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082B"/>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1A8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239D"/>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18E"/>
    <w:rsid w:val="006B72D7"/>
    <w:rsid w:val="006B7E14"/>
    <w:rsid w:val="006C073D"/>
    <w:rsid w:val="006C1658"/>
    <w:rsid w:val="006C24D4"/>
    <w:rsid w:val="006C2827"/>
    <w:rsid w:val="006C2A2C"/>
    <w:rsid w:val="006C3C1A"/>
    <w:rsid w:val="006C4533"/>
    <w:rsid w:val="006C4B49"/>
    <w:rsid w:val="006C4EA5"/>
    <w:rsid w:val="006C4FAD"/>
    <w:rsid w:val="006C543A"/>
    <w:rsid w:val="006C579A"/>
    <w:rsid w:val="006C6ADC"/>
    <w:rsid w:val="006C6BCA"/>
    <w:rsid w:val="006C7C1C"/>
    <w:rsid w:val="006D1494"/>
    <w:rsid w:val="006D201F"/>
    <w:rsid w:val="006D2682"/>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BF9"/>
    <w:rsid w:val="006E7C3B"/>
    <w:rsid w:val="006F032C"/>
    <w:rsid w:val="006F16BB"/>
    <w:rsid w:val="006F1D30"/>
    <w:rsid w:val="006F1E85"/>
    <w:rsid w:val="006F1FA8"/>
    <w:rsid w:val="006F2621"/>
    <w:rsid w:val="006F286E"/>
    <w:rsid w:val="006F344E"/>
    <w:rsid w:val="006F3C5F"/>
    <w:rsid w:val="006F4542"/>
    <w:rsid w:val="006F5678"/>
    <w:rsid w:val="006F5777"/>
    <w:rsid w:val="006F607F"/>
    <w:rsid w:val="006F64A2"/>
    <w:rsid w:val="006F6937"/>
    <w:rsid w:val="006F7DB4"/>
    <w:rsid w:val="007001F6"/>
    <w:rsid w:val="007002E2"/>
    <w:rsid w:val="00700404"/>
    <w:rsid w:val="00700BA3"/>
    <w:rsid w:val="007012B4"/>
    <w:rsid w:val="00701E2E"/>
    <w:rsid w:val="00702BF7"/>
    <w:rsid w:val="00703234"/>
    <w:rsid w:val="00703E46"/>
    <w:rsid w:val="00704B71"/>
    <w:rsid w:val="00704E76"/>
    <w:rsid w:val="0070543F"/>
    <w:rsid w:val="007056E6"/>
    <w:rsid w:val="00706296"/>
    <w:rsid w:val="00706876"/>
    <w:rsid w:val="00706D5D"/>
    <w:rsid w:val="00706EBF"/>
    <w:rsid w:val="0070779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15F"/>
    <w:rsid w:val="00754233"/>
    <w:rsid w:val="00754413"/>
    <w:rsid w:val="00754957"/>
    <w:rsid w:val="007554CE"/>
    <w:rsid w:val="0075558E"/>
    <w:rsid w:val="0075597A"/>
    <w:rsid w:val="00756510"/>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5B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F59"/>
    <w:rsid w:val="007924E0"/>
    <w:rsid w:val="00792C0E"/>
    <w:rsid w:val="007932AA"/>
    <w:rsid w:val="0079402D"/>
    <w:rsid w:val="00794981"/>
    <w:rsid w:val="00794C46"/>
    <w:rsid w:val="0079603C"/>
    <w:rsid w:val="00796779"/>
    <w:rsid w:val="007969BC"/>
    <w:rsid w:val="00796E66"/>
    <w:rsid w:val="007A0DCC"/>
    <w:rsid w:val="007A1680"/>
    <w:rsid w:val="007A1A0C"/>
    <w:rsid w:val="007A216E"/>
    <w:rsid w:val="007A2A0B"/>
    <w:rsid w:val="007A2D2E"/>
    <w:rsid w:val="007A3833"/>
    <w:rsid w:val="007A40B2"/>
    <w:rsid w:val="007A5418"/>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2B60"/>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983"/>
    <w:rsid w:val="007F1D82"/>
    <w:rsid w:val="007F2337"/>
    <w:rsid w:val="007F284E"/>
    <w:rsid w:val="007F30AE"/>
    <w:rsid w:val="007F3556"/>
    <w:rsid w:val="007F5444"/>
    <w:rsid w:val="007F6167"/>
    <w:rsid w:val="008001DB"/>
    <w:rsid w:val="008012D3"/>
    <w:rsid w:val="008015AE"/>
    <w:rsid w:val="008016DA"/>
    <w:rsid w:val="00802E92"/>
    <w:rsid w:val="00803F01"/>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B3D"/>
    <w:rsid w:val="00820E63"/>
    <w:rsid w:val="0082139C"/>
    <w:rsid w:val="00822229"/>
    <w:rsid w:val="00823318"/>
    <w:rsid w:val="00824384"/>
    <w:rsid w:val="008259BB"/>
    <w:rsid w:val="00825E11"/>
    <w:rsid w:val="0083038C"/>
    <w:rsid w:val="0083074F"/>
    <w:rsid w:val="008318B2"/>
    <w:rsid w:val="00831A2B"/>
    <w:rsid w:val="00831ABB"/>
    <w:rsid w:val="00831E2E"/>
    <w:rsid w:val="008327DA"/>
    <w:rsid w:val="00833972"/>
    <w:rsid w:val="0083440F"/>
    <w:rsid w:val="008346B4"/>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472F8"/>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40D"/>
    <w:rsid w:val="00882B3C"/>
    <w:rsid w:val="00883629"/>
    <w:rsid w:val="00883F71"/>
    <w:rsid w:val="00884728"/>
    <w:rsid w:val="008859FE"/>
    <w:rsid w:val="00885D93"/>
    <w:rsid w:val="0088618B"/>
    <w:rsid w:val="00886207"/>
    <w:rsid w:val="00886E2A"/>
    <w:rsid w:val="00890051"/>
    <w:rsid w:val="0089092D"/>
    <w:rsid w:val="008914EB"/>
    <w:rsid w:val="00891B62"/>
    <w:rsid w:val="00892CAB"/>
    <w:rsid w:val="00892F0A"/>
    <w:rsid w:val="00893082"/>
    <w:rsid w:val="0089358D"/>
    <w:rsid w:val="008935F6"/>
    <w:rsid w:val="00894787"/>
    <w:rsid w:val="00894C7B"/>
    <w:rsid w:val="00894F90"/>
    <w:rsid w:val="00895AFE"/>
    <w:rsid w:val="00896C6F"/>
    <w:rsid w:val="00897491"/>
    <w:rsid w:val="00897BA7"/>
    <w:rsid w:val="00897FE2"/>
    <w:rsid w:val="008A12F7"/>
    <w:rsid w:val="008A16FD"/>
    <w:rsid w:val="008A3778"/>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5468"/>
    <w:rsid w:val="008B65A2"/>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075A"/>
    <w:rsid w:val="008D1B2B"/>
    <w:rsid w:val="008D1BD0"/>
    <w:rsid w:val="008D2915"/>
    <w:rsid w:val="008D3148"/>
    <w:rsid w:val="008D3554"/>
    <w:rsid w:val="008D35B0"/>
    <w:rsid w:val="008D4236"/>
    <w:rsid w:val="008D4264"/>
    <w:rsid w:val="008D5356"/>
    <w:rsid w:val="008D54E9"/>
    <w:rsid w:val="008D5A93"/>
    <w:rsid w:val="008D6443"/>
    <w:rsid w:val="008D7F5B"/>
    <w:rsid w:val="008E03C1"/>
    <w:rsid w:val="008E0A3A"/>
    <w:rsid w:val="008E1364"/>
    <w:rsid w:val="008E177B"/>
    <w:rsid w:val="008E1A2F"/>
    <w:rsid w:val="008E23DB"/>
    <w:rsid w:val="008E2579"/>
    <w:rsid w:val="008E259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671F"/>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11"/>
    <w:rsid w:val="009047F4"/>
    <w:rsid w:val="009054DA"/>
    <w:rsid w:val="00905D96"/>
    <w:rsid w:val="009062D0"/>
    <w:rsid w:val="00907C26"/>
    <w:rsid w:val="00910507"/>
    <w:rsid w:val="009110AD"/>
    <w:rsid w:val="00911251"/>
    <w:rsid w:val="00911BBF"/>
    <w:rsid w:val="009121E6"/>
    <w:rsid w:val="00913C0F"/>
    <w:rsid w:val="009144A2"/>
    <w:rsid w:val="00914E82"/>
    <w:rsid w:val="0091502A"/>
    <w:rsid w:val="00915F2F"/>
    <w:rsid w:val="00916634"/>
    <w:rsid w:val="00916A48"/>
    <w:rsid w:val="009171B9"/>
    <w:rsid w:val="00917714"/>
    <w:rsid w:val="009177A5"/>
    <w:rsid w:val="00920CE7"/>
    <w:rsid w:val="00920DD5"/>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0D97"/>
    <w:rsid w:val="00931976"/>
    <w:rsid w:val="00931CE8"/>
    <w:rsid w:val="00932DA6"/>
    <w:rsid w:val="00933395"/>
    <w:rsid w:val="00933CCA"/>
    <w:rsid w:val="00934615"/>
    <w:rsid w:val="00934F28"/>
    <w:rsid w:val="00935228"/>
    <w:rsid w:val="00935EBC"/>
    <w:rsid w:val="0093615E"/>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B7A"/>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06B"/>
    <w:rsid w:val="00983238"/>
    <w:rsid w:val="0098325B"/>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5ED6"/>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2A6B"/>
    <w:rsid w:val="009F36A9"/>
    <w:rsid w:val="009F3D65"/>
    <w:rsid w:val="009F4953"/>
    <w:rsid w:val="009F4FA8"/>
    <w:rsid w:val="009F5B70"/>
    <w:rsid w:val="009F5F2C"/>
    <w:rsid w:val="009F7379"/>
    <w:rsid w:val="009F7B53"/>
    <w:rsid w:val="00A0005A"/>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3F26"/>
    <w:rsid w:val="00A151EC"/>
    <w:rsid w:val="00A15D5A"/>
    <w:rsid w:val="00A16EB5"/>
    <w:rsid w:val="00A16F4B"/>
    <w:rsid w:val="00A17446"/>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A06"/>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2A"/>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CD9"/>
    <w:rsid w:val="00A57FB8"/>
    <w:rsid w:val="00A60024"/>
    <w:rsid w:val="00A60355"/>
    <w:rsid w:val="00A60BD7"/>
    <w:rsid w:val="00A6128B"/>
    <w:rsid w:val="00A61337"/>
    <w:rsid w:val="00A613DD"/>
    <w:rsid w:val="00A62A62"/>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643A"/>
    <w:rsid w:val="00A773BD"/>
    <w:rsid w:val="00A77FB5"/>
    <w:rsid w:val="00A80061"/>
    <w:rsid w:val="00A80364"/>
    <w:rsid w:val="00A80D48"/>
    <w:rsid w:val="00A817D0"/>
    <w:rsid w:val="00A818E5"/>
    <w:rsid w:val="00A81DF4"/>
    <w:rsid w:val="00A8214F"/>
    <w:rsid w:val="00A8334F"/>
    <w:rsid w:val="00A8391A"/>
    <w:rsid w:val="00A839C1"/>
    <w:rsid w:val="00A83CB3"/>
    <w:rsid w:val="00A83F76"/>
    <w:rsid w:val="00A8483D"/>
    <w:rsid w:val="00A848C8"/>
    <w:rsid w:val="00A87596"/>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2F26"/>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3D41"/>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C02"/>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1"/>
    <w:rsid w:val="00B15DBC"/>
    <w:rsid w:val="00B16FE6"/>
    <w:rsid w:val="00B1783F"/>
    <w:rsid w:val="00B17B19"/>
    <w:rsid w:val="00B20EC5"/>
    <w:rsid w:val="00B21B7A"/>
    <w:rsid w:val="00B21E7E"/>
    <w:rsid w:val="00B22417"/>
    <w:rsid w:val="00B228D3"/>
    <w:rsid w:val="00B23782"/>
    <w:rsid w:val="00B241D5"/>
    <w:rsid w:val="00B25241"/>
    <w:rsid w:val="00B252EA"/>
    <w:rsid w:val="00B2601C"/>
    <w:rsid w:val="00B267BF"/>
    <w:rsid w:val="00B26A35"/>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1E20"/>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8AF"/>
    <w:rsid w:val="00B81D48"/>
    <w:rsid w:val="00B81DDF"/>
    <w:rsid w:val="00B830BC"/>
    <w:rsid w:val="00B83128"/>
    <w:rsid w:val="00B847E4"/>
    <w:rsid w:val="00B8484B"/>
    <w:rsid w:val="00B85A17"/>
    <w:rsid w:val="00B85B6C"/>
    <w:rsid w:val="00B8673A"/>
    <w:rsid w:val="00B86F2E"/>
    <w:rsid w:val="00B877D7"/>
    <w:rsid w:val="00B87CE1"/>
    <w:rsid w:val="00B903F3"/>
    <w:rsid w:val="00B908A8"/>
    <w:rsid w:val="00B916C6"/>
    <w:rsid w:val="00B924D9"/>
    <w:rsid w:val="00B92D98"/>
    <w:rsid w:val="00B92EC3"/>
    <w:rsid w:val="00B93B96"/>
    <w:rsid w:val="00B94293"/>
    <w:rsid w:val="00B94AAF"/>
    <w:rsid w:val="00B95D34"/>
    <w:rsid w:val="00B96172"/>
    <w:rsid w:val="00B961AB"/>
    <w:rsid w:val="00B967CF"/>
    <w:rsid w:val="00B96FE1"/>
    <w:rsid w:val="00B977F2"/>
    <w:rsid w:val="00BA0A43"/>
    <w:rsid w:val="00BA0FEC"/>
    <w:rsid w:val="00BA13B6"/>
    <w:rsid w:val="00BA163F"/>
    <w:rsid w:val="00BA4367"/>
    <w:rsid w:val="00BA4809"/>
    <w:rsid w:val="00BA5423"/>
    <w:rsid w:val="00BA5A91"/>
    <w:rsid w:val="00BA6C03"/>
    <w:rsid w:val="00BA74B7"/>
    <w:rsid w:val="00BA75B4"/>
    <w:rsid w:val="00BB0916"/>
    <w:rsid w:val="00BB167C"/>
    <w:rsid w:val="00BB25D5"/>
    <w:rsid w:val="00BB28ED"/>
    <w:rsid w:val="00BB372D"/>
    <w:rsid w:val="00BB3C30"/>
    <w:rsid w:val="00BB3D02"/>
    <w:rsid w:val="00BB63B3"/>
    <w:rsid w:val="00BB6658"/>
    <w:rsid w:val="00BB6B1C"/>
    <w:rsid w:val="00BC0130"/>
    <w:rsid w:val="00BC014A"/>
    <w:rsid w:val="00BC0F47"/>
    <w:rsid w:val="00BC1F1E"/>
    <w:rsid w:val="00BC21CC"/>
    <w:rsid w:val="00BC3196"/>
    <w:rsid w:val="00BC3284"/>
    <w:rsid w:val="00BC3516"/>
    <w:rsid w:val="00BC3935"/>
    <w:rsid w:val="00BC4225"/>
    <w:rsid w:val="00BC520E"/>
    <w:rsid w:val="00BC6567"/>
    <w:rsid w:val="00BC7437"/>
    <w:rsid w:val="00BC789A"/>
    <w:rsid w:val="00BD2139"/>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4935"/>
    <w:rsid w:val="00BE500F"/>
    <w:rsid w:val="00BE506C"/>
    <w:rsid w:val="00BE5BA1"/>
    <w:rsid w:val="00BE685E"/>
    <w:rsid w:val="00BE6C02"/>
    <w:rsid w:val="00BE6C23"/>
    <w:rsid w:val="00BE6F1D"/>
    <w:rsid w:val="00BE6F2D"/>
    <w:rsid w:val="00BE7361"/>
    <w:rsid w:val="00BE7413"/>
    <w:rsid w:val="00BE76F1"/>
    <w:rsid w:val="00BE7AB1"/>
    <w:rsid w:val="00BE7D77"/>
    <w:rsid w:val="00BF0DA4"/>
    <w:rsid w:val="00BF0FB0"/>
    <w:rsid w:val="00BF1DD3"/>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D5B"/>
    <w:rsid w:val="00C130AF"/>
    <w:rsid w:val="00C13797"/>
    <w:rsid w:val="00C1557E"/>
    <w:rsid w:val="00C15C21"/>
    <w:rsid w:val="00C1639A"/>
    <w:rsid w:val="00C1649F"/>
    <w:rsid w:val="00C1791D"/>
    <w:rsid w:val="00C17C62"/>
    <w:rsid w:val="00C20882"/>
    <w:rsid w:val="00C20CE0"/>
    <w:rsid w:val="00C20EB8"/>
    <w:rsid w:val="00C2136D"/>
    <w:rsid w:val="00C2152D"/>
    <w:rsid w:val="00C2180B"/>
    <w:rsid w:val="00C22253"/>
    <w:rsid w:val="00C2275C"/>
    <w:rsid w:val="00C22DE0"/>
    <w:rsid w:val="00C22F55"/>
    <w:rsid w:val="00C23DAE"/>
    <w:rsid w:val="00C247C1"/>
    <w:rsid w:val="00C24952"/>
    <w:rsid w:val="00C24CD0"/>
    <w:rsid w:val="00C252A3"/>
    <w:rsid w:val="00C254FF"/>
    <w:rsid w:val="00C25B97"/>
    <w:rsid w:val="00C25BC2"/>
    <w:rsid w:val="00C2709E"/>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0A03"/>
    <w:rsid w:val="00C70E3D"/>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FBD"/>
    <w:rsid w:val="00C84318"/>
    <w:rsid w:val="00C8611C"/>
    <w:rsid w:val="00C86BD3"/>
    <w:rsid w:val="00C86C8C"/>
    <w:rsid w:val="00C8732D"/>
    <w:rsid w:val="00C87764"/>
    <w:rsid w:val="00C900BA"/>
    <w:rsid w:val="00C90452"/>
    <w:rsid w:val="00C9046B"/>
    <w:rsid w:val="00C9071E"/>
    <w:rsid w:val="00C90839"/>
    <w:rsid w:val="00C90B92"/>
    <w:rsid w:val="00C91F70"/>
    <w:rsid w:val="00C9247F"/>
    <w:rsid w:val="00C92856"/>
    <w:rsid w:val="00C92984"/>
    <w:rsid w:val="00C92BB5"/>
    <w:rsid w:val="00C92C0A"/>
    <w:rsid w:val="00C939E5"/>
    <w:rsid w:val="00C942EA"/>
    <w:rsid w:val="00C944C1"/>
    <w:rsid w:val="00C94A54"/>
    <w:rsid w:val="00C94EE1"/>
    <w:rsid w:val="00C957D8"/>
    <w:rsid w:val="00C96BA1"/>
    <w:rsid w:val="00C96CF4"/>
    <w:rsid w:val="00C975AC"/>
    <w:rsid w:val="00C97719"/>
    <w:rsid w:val="00CA002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13E"/>
    <w:rsid w:val="00CC73F5"/>
    <w:rsid w:val="00CC77CF"/>
    <w:rsid w:val="00CD007B"/>
    <w:rsid w:val="00CD0123"/>
    <w:rsid w:val="00CD03D7"/>
    <w:rsid w:val="00CD05AB"/>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2F9A"/>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1C2C"/>
    <w:rsid w:val="00CF455D"/>
    <w:rsid w:val="00CF4F27"/>
    <w:rsid w:val="00CF50BE"/>
    <w:rsid w:val="00CF5883"/>
    <w:rsid w:val="00CF63E8"/>
    <w:rsid w:val="00CF6595"/>
    <w:rsid w:val="00CF65FD"/>
    <w:rsid w:val="00CF6704"/>
    <w:rsid w:val="00CF7CCE"/>
    <w:rsid w:val="00D00E9F"/>
    <w:rsid w:val="00D023EB"/>
    <w:rsid w:val="00D026EB"/>
    <w:rsid w:val="00D02E4D"/>
    <w:rsid w:val="00D03628"/>
    <w:rsid w:val="00D03EFF"/>
    <w:rsid w:val="00D03F9F"/>
    <w:rsid w:val="00D0438B"/>
    <w:rsid w:val="00D043A8"/>
    <w:rsid w:val="00D04702"/>
    <w:rsid w:val="00D04762"/>
    <w:rsid w:val="00D04788"/>
    <w:rsid w:val="00D04E34"/>
    <w:rsid w:val="00D0551C"/>
    <w:rsid w:val="00D056D0"/>
    <w:rsid w:val="00D0579B"/>
    <w:rsid w:val="00D05A9F"/>
    <w:rsid w:val="00D05F40"/>
    <w:rsid w:val="00D05F56"/>
    <w:rsid w:val="00D066C5"/>
    <w:rsid w:val="00D06E5C"/>
    <w:rsid w:val="00D0715C"/>
    <w:rsid w:val="00D10B5E"/>
    <w:rsid w:val="00D10FB6"/>
    <w:rsid w:val="00D111C8"/>
    <w:rsid w:val="00D11E5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74C0"/>
    <w:rsid w:val="00D8779B"/>
    <w:rsid w:val="00D87AEB"/>
    <w:rsid w:val="00D87CC2"/>
    <w:rsid w:val="00D90EAE"/>
    <w:rsid w:val="00D91C8F"/>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A71"/>
    <w:rsid w:val="00DC0E1D"/>
    <w:rsid w:val="00DC11A1"/>
    <w:rsid w:val="00DC1C67"/>
    <w:rsid w:val="00DC23D4"/>
    <w:rsid w:val="00DC2507"/>
    <w:rsid w:val="00DC2851"/>
    <w:rsid w:val="00DC2967"/>
    <w:rsid w:val="00DC2A61"/>
    <w:rsid w:val="00DC30A8"/>
    <w:rsid w:val="00DC34C0"/>
    <w:rsid w:val="00DC5099"/>
    <w:rsid w:val="00DC5CCF"/>
    <w:rsid w:val="00DC6038"/>
    <w:rsid w:val="00DC668D"/>
    <w:rsid w:val="00DC78E8"/>
    <w:rsid w:val="00DC7AA9"/>
    <w:rsid w:val="00DC7D15"/>
    <w:rsid w:val="00DD04B2"/>
    <w:rsid w:val="00DD07F8"/>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0ED2"/>
    <w:rsid w:val="00DF1B9B"/>
    <w:rsid w:val="00DF1C5C"/>
    <w:rsid w:val="00DF1F60"/>
    <w:rsid w:val="00DF21BA"/>
    <w:rsid w:val="00DF22E8"/>
    <w:rsid w:val="00DF2C40"/>
    <w:rsid w:val="00DF45D0"/>
    <w:rsid w:val="00DF5377"/>
    <w:rsid w:val="00DF5502"/>
    <w:rsid w:val="00DF574F"/>
    <w:rsid w:val="00DF5B7F"/>
    <w:rsid w:val="00DF5FF7"/>
    <w:rsid w:val="00E00161"/>
    <w:rsid w:val="00E00C0C"/>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852"/>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6C0"/>
    <w:rsid w:val="00E45ADB"/>
    <w:rsid w:val="00E4601C"/>
    <w:rsid w:val="00E460A0"/>
    <w:rsid w:val="00E46872"/>
    <w:rsid w:val="00E4752C"/>
    <w:rsid w:val="00E475D2"/>
    <w:rsid w:val="00E50AB6"/>
    <w:rsid w:val="00E51C26"/>
    <w:rsid w:val="00E52110"/>
    <w:rsid w:val="00E5213B"/>
    <w:rsid w:val="00E52438"/>
    <w:rsid w:val="00E5253F"/>
    <w:rsid w:val="00E547AE"/>
    <w:rsid w:val="00E54E03"/>
    <w:rsid w:val="00E550D7"/>
    <w:rsid w:val="00E559A1"/>
    <w:rsid w:val="00E56318"/>
    <w:rsid w:val="00E564D3"/>
    <w:rsid w:val="00E56785"/>
    <w:rsid w:val="00E56A7C"/>
    <w:rsid w:val="00E576C3"/>
    <w:rsid w:val="00E577F9"/>
    <w:rsid w:val="00E57964"/>
    <w:rsid w:val="00E57D3F"/>
    <w:rsid w:val="00E57D9B"/>
    <w:rsid w:val="00E63258"/>
    <w:rsid w:val="00E63BED"/>
    <w:rsid w:val="00E64966"/>
    <w:rsid w:val="00E65329"/>
    <w:rsid w:val="00E66B54"/>
    <w:rsid w:val="00E672DB"/>
    <w:rsid w:val="00E7151D"/>
    <w:rsid w:val="00E71A1A"/>
    <w:rsid w:val="00E720DD"/>
    <w:rsid w:val="00E72CCB"/>
    <w:rsid w:val="00E72EA6"/>
    <w:rsid w:val="00E72EFF"/>
    <w:rsid w:val="00E73908"/>
    <w:rsid w:val="00E739F5"/>
    <w:rsid w:val="00E75927"/>
    <w:rsid w:val="00E75B7E"/>
    <w:rsid w:val="00E75E0E"/>
    <w:rsid w:val="00E76133"/>
    <w:rsid w:val="00E77855"/>
    <w:rsid w:val="00E7793A"/>
    <w:rsid w:val="00E8019B"/>
    <w:rsid w:val="00E80BCA"/>
    <w:rsid w:val="00E8142E"/>
    <w:rsid w:val="00E815CA"/>
    <w:rsid w:val="00E82D22"/>
    <w:rsid w:val="00E834ED"/>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286"/>
    <w:rsid w:val="00EA761A"/>
    <w:rsid w:val="00EA7E12"/>
    <w:rsid w:val="00EB0396"/>
    <w:rsid w:val="00EB084D"/>
    <w:rsid w:val="00EB0E39"/>
    <w:rsid w:val="00EB14EA"/>
    <w:rsid w:val="00EB1B7B"/>
    <w:rsid w:val="00EB21A3"/>
    <w:rsid w:val="00EB2667"/>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2F"/>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1F49"/>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17A98"/>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966"/>
    <w:rsid w:val="00F27BF8"/>
    <w:rsid w:val="00F27F18"/>
    <w:rsid w:val="00F305BB"/>
    <w:rsid w:val="00F30E3C"/>
    <w:rsid w:val="00F313B1"/>
    <w:rsid w:val="00F31FBF"/>
    <w:rsid w:val="00F32056"/>
    <w:rsid w:val="00F336B0"/>
    <w:rsid w:val="00F34B8C"/>
    <w:rsid w:val="00F34EB7"/>
    <w:rsid w:val="00F35094"/>
    <w:rsid w:val="00F35A7B"/>
    <w:rsid w:val="00F35D47"/>
    <w:rsid w:val="00F3634B"/>
    <w:rsid w:val="00F37271"/>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28AA"/>
    <w:rsid w:val="00F53428"/>
    <w:rsid w:val="00F53709"/>
    <w:rsid w:val="00F541A7"/>
    <w:rsid w:val="00F545A1"/>
    <w:rsid w:val="00F56778"/>
    <w:rsid w:val="00F567E1"/>
    <w:rsid w:val="00F56D97"/>
    <w:rsid w:val="00F6080B"/>
    <w:rsid w:val="00F6148F"/>
    <w:rsid w:val="00F62168"/>
    <w:rsid w:val="00F625A4"/>
    <w:rsid w:val="00F62639"/>
    <w:rsid w:val="00F626F0"/>
    <w:rsid w:val="00F6291E"/>
    <w:rsid w:val="00F62B1D"/>
    <w:rsid w:val="00F63022"/>
    <w:rsid w:val="00F630C0"/>
    <w:rsid w:val="00F63804"/>
    <w:rsid w:val="00F645EE"/>
    <w:rsid w:val="00F64D81"/>
    <w:rsid w:val="00F64F8D"/>
    <w:rsid w:val="00F65777"/>
    <w:rsid w:val="00F65A47"/>
    <w:rsid w:val="00F660AB"/>
    <w:rsid w:val="00F66506"/>
    <w:rsid w:val="00F66837"/>
    <w:rsid w:val="00F668D7"/>
    <w:rsid w:val="00F66AF2"/>
    <w:rsid w:val="00F67485"/>
    <w:rsid w:val="00F72145"/>
    <w:rsid w:val="00F7303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5CDF"/>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59BB"/>
    <w:rsid w:val="00FD6637"/>
    <w:rsid w:val="00FD6C9C"/>
    <w:rsid w:val="00FD71F3"/>
    <w:rsid w:val="00FE03C1"/>
    <w:rsid w:val="00FE07DB"/>
    <w:rsid w:val="00FE0E16"/>
    <w:rsid w:val="00FE221F"/>
    <w:rsid w:val="00FE2457"/>
    <w:rsid w:val="00FE3D05"/>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4C5"/>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A0D"/>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5E5A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5A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Default">
    <w:name w:val="Default"/>
    <w:rsid w:val="00590DA4"/>
    <w:pPr>
      <w:autoSpaceDE w:val="0"/>
      <w:autoSpaceDN w:val="0"/>
      <w:adjustRightInd w:val="0"/>
    </w:pPr>
    <w:rPr>
      <w:rFonts w:ascii="Arial" w:hAnsi="Arial" w:cs="Arial"/>
      <w:color w:val="000000"/>
      <w:sz w:val="24"/>
      <w:szCs w:val="24"/>
    </w:rPr>
  </w:style>
  <w:style w:type="character" w:styleId="Strong">
    <w:name w:val="Strong"/>
    <w:qFormat/>
    <w:rsid w:val="003E01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590549585">
      <w:bodyDiv w:val="1"/>
      <w:marLeft w:val="0"/>
      <w:marRight w:val="0"/>
      <w:marTop w:val="0"/>
      <w:marBottom w:val="0"/>
      <w:divBdr>
        <w:top w:val="none" w:sz="0" w:space="0" w:color="auto"/>
        <w:left w:val="none" w:sz="0" w:space="0" w:color="auto"/>
        <w:bottom w:val="none" w:sz="0" w:space="0" w:color="auto"/>
        <w:right w:val="none" w:sz="0" w:space="0" w:color="auto"/>
      </w:divBdr>
      <w:divsChild>
        <w:div w:id="472068512">
          <w:marLeft w:val="2232"/>
          <w:marRight w:val="0"/>
          <w:marTop w:val="120"/>
          <w:marBottom w:val="0"/>
          <w:divBdr>
            <w:top w:val="none" w:sz="0" w:space="0" w:color="auto"/>
            <w:left w:val="none" w:sz="0" w:space="0" w:color="auto"/>
            <w:bottom w:val="none" w:sz="0" w:space="0" w:color="auto"/>
            <w:right w:val="none" w:sz="0" w:space="0" w:color="auto"/>
          </w:divBdr>
        </w:div>
        <w:div w:id="1334918313">
          <w:marLeft w:val="2434"/>
          <w:marRight w:val="0"/>
          <w:marTop w:val="120"/>
          <w:marBottom w:val="0"/>
          <w:divBdr>
            <w:top w:val="none" w:sz="0" w:space="0" w:color="auto"/>
            <w:left w:val="none" w:sz="0" w:space="0" w:color="auto"/>
            <w:bottom w:val="none" w:sz="0" w:space="0" w:color="auto"/>
            <w:right w:val="none" w:sz="0" w:space="0" w:color="auto"/>
          </w:divBdr>
        </w:div>
        <w:div w:id="503473868">
          <w:marLeft w:val="2434"/>
          <w:marRight w:val="0"/>
          <w:marTop w:val="120"/>
          <w:marBottom w:val="0"/>
          <w:divBdr>
            <w:top w:val="none" w:sz="0" w:space="0" w:color="auto"/>
            <w:left w:val="none" w:sz="0" w:space="0" w:color="auto"/>
            <w:bottom w:val="none" w:sz="0" w:space="0" w:color="auto"/>
            <w:right w:val="none" w:sz="0" w:space="0" w:color="auto"/>
          </w:divBdr>
        </w:div>
        <w:div w:id="994064372">
          <w:marLeft w:val="2232"/>
          <w:marRight w:val="0"/>
          <w:marTop w:val="12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1367</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11</cp:revision>
  <cp:lastPrinted>2001-04-23T09:30:00Z</cp:lastPrinted>
  <dcterms:created xsi:type="dcterms:W3CDTF">2022-02-09T12:55:00Z</dcterms:created>
  <dcterms:modified xsi:type="dcterms:W3CDTF">2022-02-14T21:17:00Z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